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06F3" w14:textId="2E1894FC" w:rsidR="00386190" w:rsidRDefault="00386190" w:rsidP="00A11B81">
      <w:pPr>
        <w:keepNext/>
        <w:keepLines/>
        <w:widowControl/>
        <w:autoSpaceDE/>
        <w:autoSpaceDN/>
        <w:spacing w:before="240" w:line="259" w:lineRule="auto"/>
        <w:jc w:val="center"/>
        <w:outlineLvl w:val="0"/>
        <w:rPr>
          <w:rFonts w:eastAsia="Times New Roman" w:cs="Calibri"/>
          <w:b/>
          <w:bCs/>
          <w:color w:val="C21B1C"/>
          <w:sz w:val="32"/>
          <w:szCs w:val="32"/>
          <w:lang w:val="it"/>
        </w:rPr>
      </w:pPr>
      <w:r>
        <w:rPr>
          <w:rFonts w:eastAsia="Times New Roman" w:cs="Calibri"/>
          <w:b/>
          <w:bCs/>
          <w:color w:val="C21B1C"/>
          <w:sz w:val="32"/>
          <w:szCs w:val="32"/>
          <w:lang w:val="it"/>
        </w:rPr>
        <w:t>Sintesi dei diritti degli investitori</w:t>
      </w:r>
    </w:p>
    <w:p w14:paraId="1F6ECD28" w14:textId="77777777" w:rsidR="00A11B81" w:rsidRPr="00A11B81" w:rsidRDefault="00A11B81" w:rsidP="00A11B81">
      <w:pPr>
        <w:keepNext/>
        <w:keepLines/>
        <w:widowControl/>
        <w:autoSpaceDE/>
        <w:autoSpaceDN/>
        <w:spacing w:before="120" w:line="259" w:lineRule="auto"/>
        <w:jc w:val="center"/>
        <w:outlineLvl w:val="0"/>
        <w:rPr>
          <w:rFonts w:eastAsia="Times New Roman" w:cs="Calibri"/>
          <w:b/>
          <w:bCs/>
          <w:color w:val="C21B1C"/>
          <w:sz w:val="32"/>
          <w:szCs w:val="32"/>
          <w:lang w:val="it"/>
        </w:rPr>
      </w:pPr>
    </w:p>
    <w:p w14:paraId="320761DC" w14:textId="77777777" w:rsidR="00386190" w:rsidRPr="00A11B81"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lang w:val="fr-FR"/>
        </w:rPr>
      </w:pPr>
      <w:r>
        <w:rPr>
          <w:rFonts w:eastAsia="Times New Roman" w:cs="Calibri"/>
          <w:b/>
          <w:bCs/>
          <w:color w:val="C21B1C"/>
          <w:sz w:val="24"/>
          <w:szCs w:val="24"/>
          <w:lang w:val="it"/>
        </w:rPr>
        <w:t xml:space="preserve">Premessa </w:t>
      </w:r>
    </w:p>
    <w:p w14:paraId="67DB19CA" w14:textId="0FFF88EB" w:rsidR="00933034" w:rsidRPr="00A11B81" w:rsidRDefault="00933034"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Generali Investments Luxembourg S.A. (di seguito “GIL” o “Società di gestione”) è una società di gestione con sede in Lussemburgo autorizzata ai sensi del Capitolo 15 della Legge del 17 dicembre 2010 relativa agli Organismi di investimento collettivo in valori mobiliari (OICVM), nonché un gestore di fondi di investimento alternativi autorizzato ai sensi della Legge del 12 luglio 2013 sui gestori di fondi di investimento alternativi.</w:t>
      </w:r>
    </w:p>
    <w:p w14:paraId="1728534D" w14:textId="001848D0" w:rsidR="000E5444" w:rsidRPr="00A11B81" w:rsidRDefault="00386190" w:rsidP="00386190">
      <w:pPr>
        <w:widowControl/>
        <w:autoSpaceDE/>
        <w:autoSpaceDN/>
        <w:spacing w:after="160" w:line="259" w:lineRule="auto"/>
        <w:jc w:val="both"/>
        <w:rPr>
          <w:rFonts w:eastAsia="Calibri" w:cs="Calibri"/>
          <w:sz w:val="18"/>
          <w:szCs w:val="18"/>
          <w:lang w:val="fr-FR"/>
        </w:rPr>
      </w:pPr>
      <w:r>
        <w:rPr>
          <w:sz w:val="18"/>
          <w:szCs w:val="18"/>
          <w:lang w:val="it"/>
        </w:rPr>
        <w:t>Il presente documento è inteso come una sintesi dei principali diritti dell’investitore nel/i Fondo/i gestito/i da GIL (di seguito “Fondo/i”) ai fini del Regolamento dell’Unione europea sulla distribuzione transfrontaliera (Regolamento UE 2019/1156). Non intende essere e non deve considerarsi un elenco esaustivo di tutti i diritti che gli Investitori possono esercitare nei confronti del/i Fondo/i.</w:t>
      </w:r>
    </w:p>
    <w:p w14:paraId="5D9F8A27" w14:textId="0AC371A5" w:rsidR="00386190" w:rsidRPr="00AF41B0"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rPr>
      </w:pPr>
      <w:r>
        <w:rPr>
          <w:rFonts w:eastAsia="Times New Roman" w:cs="Calibri"/>
          <w:b/>
          <w:bCs/>
          <w:color w:val="C21B1C"/>
          <w:sz w:val="24"/>
          <w:szCs w:val="24"/>
          <w:lang w:val="it"/>
        </w:rPr>
        <w:t>Diritto a ricevere talune informazioni relative al vostro investimento nel/i Fondo/i</w:t>
      </w:r>
    </w:p>
    <w:p w14:paraId="35AC73A0" w14:textId="38CFB127" w:rsidR="00535491" w:rsidRPr="004F1BF6" w:rsidRDefault="00535491" w:rsidP="00386190">
      <w:pPr>
        <w:widowControl/>
        <w:autoSpaceDE/>
        <w:autoSpaceDN/>
        <w:spacing w:after="160" w:line="259" w:lineRule="auto"/>
        <w:jc w:val="both"/>
        <w:rPr>
          <w:rFonts w:eastAsia="Calibri" w:cs="Calibri"/>
          <w:sz w:val="18"/>
          <w:szCs w:val="18"/>
        </w:rPr>
      </w:pPr>
      <w:r>
        <w:rPr>
          <w:rFonts w:eastAsia="Calibri" w:cs="Calibri"/>
          <w:sz w:val="18"/>
          <w:szCs w:val="18"/>
          <w:lang w:val="it"/>
        </w:rPr>
        <w:t>È possibile accedere gratuitamente al Prospetto informativo in inglese e ai Documenti contenenti le informazioni chiave per gli investitori (KIID) tradotti in una delle lingue ufficiali del proprio paese e agli ultimi bilanci annuali e semestrali in inglese sul sito www.generali-investments.lu. È inoltre possibile ricevere una copia del presente documento su richiesta presso Generali Investments Luxembourg S.A., 4, rue Jean Monnet L-2180 Lussemburgo.</w:t>
      </w:r>
    </w:p>
    <w:p w14:paraId="18854219" w14:textId="1E55D931" w:rsidR="00535491" w:rsidRPr="00A11B81" w:rsidRDefault="00535491"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Inoltre, questi documenti sono reperibili anche presso le strutture designate nel paese di residenza.</w:t>
      </w:r>
    </w:p>
    <w:p w14:paraId="7BBBFC1D" w14:textId="7EE6BF65" w:rsidR="00386190" w:rsidRPr="00A11B81" w:rsidRDefault="00386190"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Ad eccezione dei casi in cui la determinazione del Valore patrimoniale netto sia stata sospesa, il Valore patrimoniale netto per Azione sarà pubblicato settimanalmente su www.fundsquare.net e su www.generali-investments.lu e aggiornato dopo ogni calcolo del Valore patrimoniale netto. Inoltre, il Valore patrimoniale netto per Azione/Quota può essere ottenuto gratuitamente presso la sede della Società di gestione, del Gestore degli investimenti o dell’Agente per i pagamenti durante il normale orario di lavoro. </w:t>
      </w:r>
    </w:p>
    <w:p w14:paraId="7844ABBB" w14:textId="1C9636D3" w:rsidR="00386190" w:rsidRPr="00A11B81" w:rsidRDefault="00386190"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Le modifiche sostanziali a talune informazioni contenute nel Prospetto informativo fornito agli investitori prima dell’investimento nel/i Fondo/i saranno notificate agli investitori in conformità ai requisiti normativi applicabili.</w:t>
      </w:r>
    </w:p>
    <w:p w14:paraId="321AC04D" w14:textId="77777777" w:rsidR="00A92A36" w:rsidRPr="00A11B81" w:rsidRDefault="00A92A36" w:rsidP="00386190">
      <w:pPr>
        <w:widowControl/>
        <w:autoSpaceDE/>
        <w:autoSpaceDN/>
        <w:spacing w:after="160" w:line="259" w:lineRule="auto"/>
        <w:jc w:val="both"/>
        <w:rPr>
          <w:rFonts w:eastAsia="Calibri" w:cs="Calibri"/>
          <w:sz w:val="20"/>
          <w:szCs w:val="20"/>
          <w:lang w:val="fr-FR"/>
        </w:rPr>
      </w:pPr>
    </w:p>
    <w:p w14:paraId="7D7D177F" w14:textId="49C20243" w:rsidR="00386190" w:rsidRPr="00AF41B0"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rPr>
      </w:pPr>
      <w:r>
        <w:rPr>
          <w:rFonts w:eastAsia="Times New Roman" w:cs="Calibri"/>
          <w:b/>
          <w:bCs/>
          <w:color w:val="C21B1C"/>
          <w:sz w:val="24"/>
          <w:szCs w:val="24"/>
          <w:lang w:val="it"/>
        </w:rPr>
        <w:t>Diritto di partecipare alle assemblee generali del/i Fondo/i</w:t>
      </w:r>
    </w:p>
    <w:p w14:paraId="42FB5900" w14:textId="5FE78550" w:rsidR="00386190" w:rsidRPr="004F1BF6" w:rsidRDefault="00F4036F" w:rsidP="00386190">
      <w:pPr>
        <w:widowControl/>
        <w:autoSpaceDE/>
        <w:autoSpaceDN/>
        <w:spacing w:after="160" w:line="259" w:lineRule="auto"/>
        <w:jc w:val="both"/>
        <w:rPr>
          <w:rFonts w:eastAsia="Calibri" w:cs="Calibri"/>
          <w:sz w:val="18"/>
          <w:szCs w:val="18"/>
        </w:rPr>
      </w:pPr>
      <w:r>
        <w:rPr>
          <w:rFonts w:eastAsia="Calibri" w:cs="Calibri"/>
          <w:sz w:val="18"/>
          <w:szCs w:val="18"/>
          <w:lang w:val="it"/>
        </w:rPr>
        <w:t>Se il/i Fondo/i è/sono una SICAV, in qualità di Azionista del/i Fondo/i, gli investitori hanno il diritto di partecipare alle assemblee generali degli Azionisti del/i Fondo/i.</w:t>
      </w:r>
    </w:p>
    <w:p w14:paraId="66C8A7C3" w14:textId="77777777" w:rsidR="00A92A36" w:rsidRPr="00AF41B0" w:rsidRDefault="00A92A36" w:rsidP="00386190">
      <w:pPr>
        <w:widowControl/>
        <w:autoSpaceDE/>
        <w:autoSpaceDN/>
        <w:spacing w:after="160" w:line="259" w:lineRule="auto"/>
        <w:jc w:val="both"/>
        <w:rPr>
          <w:rFonts w:eastAsia="Calibri" w:cs="Calibri"/>
          <w:sz w:val="20"/>
          <w:szCs w:val="20"/>
        </w:rPr>
      </w:pPr>
    </w:p>
    <w:p w14:paraId="3F922433" w14:textId="4FF23816" w:rsidR="00386190" w:rsidRPr="00AF41B0"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rPr>
      </w:pPr>
      <w:r>
        <w:rPr>
          <w:rFonts w:eastAsia="Times New Roman" w:cs="Calibri"/>
          <w:b/>
          <w:bCs/>
          <w:color w:val="C21B1C"/>
          <w:sz w:val="24"/>
          <w:szCs w:val="24"/>
          <w:lang w:val="it"/>
        </w:rPr>
        <w:t>Diritto di riscattare la propria partecipazione nel/i Fondo/i</w:t>
      </w:r>
    </w:p>
    <w:p w14:paraId="104B32CC" w14:textId="077C4A45" w:rsidR="00A92A36" w:rsidRPr="00A11B81" w:rsidRDefault="0082151C" w:rsidP="00A11B81">
      <w:pPr>
        <w:widowControl/>
        <w:autoSpaceDE/>
        <w:autoSpaceDN/>
        <w:spacing w:after="160" w:line="259" w:lineRule="auto"/>
        <w:jc w:val="both"/>
        <w:rPr>
          <w:rFonts w:eastAsia="Calibri" w:cs="Calibri"/>
          <w:sz w:val="18"/>
          <w:szCs w:val="18"/>
        </w:rPr>
      </w:pPr>
      <w:r>
        <w:rPr>
          <w:rFonts w:eastAsia="Calibri" w:cs="Calibri"/>
          <w:sz w:val="18"/>
          <w:szCs w:val="18"/>
          <w:lang w:val="it"/>
        </w:rPr>
        <w:t>Gli investitori nel/i Fondo/i hanno il diritto di riscattare la propria partecipazione e di ricevere i proventi del riscatto relativi a tali azioni/quote entro i termini e alle condizioni indicati nel Prospetto informativo.</w:t>
      </w:r>
    </w:p>
    <w:p w14:paraId="268A5236" w14:textId="77777777" w:rsidR="00386190" w:rsidRPr="00AF41B0"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rPr>
      </w:pPr>
      <w:bookmarkStart w:id="0" w:name="_Hlk87952486"/>
      <w:r>
        <w:rPr>
          <w:rFonts w:eastAsia="Times New Roman" w:cs="Calibri"/>
          <w:b/>
          <w:bCs/>
          <w:color w:val="C21B1C"/>
          <w:sz w:val="24"/>
          <w:szCs w:val="24"/>
          <w:lang w:val="it"/>
        </w:rPr>
        <w:t>Diritto di presentare un reclamo</w:t>
      </w:r>
    </w:p>
    <w:p w14:paraId="4B7586D0" w14:textId="6C53C33E" w:rsidR="00956ACD" w:rsidRPr="004F1BF6" w:rsidRDefault="00993A15" w:rsidP="00993A15">
      <w:pPr>
        <w:widowControl/>
        <w:autoSpaceDE/>
        <w:autoSpaceDN/>
        <w:spacing w:after="160" w:line="259" w:lineRule="auto"/>
        <w:jc w:val="both"/>
        <w:rPr>
          <w:rFonts w:eastAsia="Calibri" w:cs="Calibri"/>
          <w:b/>
          <w:bCs/>
          <w:sz w:val="18"/>
          <w:szCs w:val="18"/>
        </w:rPr>
      </w:pPr>
      <w:r>
        <w:rPr>
          <w:rFonts w:eastAsia="Calibri" w:cs="Calibri"/>
          <w:b/>
          <w:bCs/>
          <w:sz w:val="18"/>
          <w:szCs w:val="18"/>
          <w:lang w:val="it"/>
        </w:rPr>
        <w:t>1) Coordinamento con GIL</w:t>
      </w:r>
    </w:p>
    <w:bookmarkEnd w:id="0"/>
    <w:p w14:paraId="2380A102" w14:textId="7A09224B" w:rsidR="00386190" w:rsidRPr="00AA65A5" w:rsidRDefault="00386190" w:rsidP="00386190">
      <w:pPr>
        <w:widowControl/>
        <w:autoSpaceDE/>
        <w:autoSpaceDN/>
        <w:spacing w:after="160" w:line="259" w:lineRule="auto"/>
        <w:jc w:val="both"/>
        <w:rPr>
          <w:rFonts w:eastAsia="Calibri" w:cs="Calibri"/>
          <w:sz w:val="18"/>
          <w:szCs w:val="18"/>
        </w:rPr>
      </w:pPr>
      <w:r>
        <w:rPr>
          <w:rFonts w:eastAsia="Calibri" w:cs="Calibri"/>
          <w:sz w:val="18"/>
          <w:szCs w:val="18"/>
          <w:lang w:val="it"/>
        </w:rPr>
        <w:t>In qualità di investitori de/i Fondo/i, avete il diritto di presentare gratuitamente un reclamo nella vostra lingua. Qualsiasi reclamo di questo tipo deve essere evaso dalla Società di gestione in modo tempestivo ed efficace.</w:t>
      </w:r>
    </w:p>
    <w:p w14:paraId="75332768" w14:textId="77777777" w:rsidR="00934616" w:rsidRPr="00A11B81" w:rsidRDefault="00FC7FE6" w:rsidP="00FC7FE6">
      <w:pPr>
        <w:widowControl/>
        <w:autoSpaceDE/>
        <w:autoSpaceDN/>
        <w:spacing w:after="160" w:line="259" w:lineRule="auto"/>
        <w:jc w:val="both"/>
        <w:rPr>
          <w:rFonts w:eastAsia="Calibri" w:cs="Calibri"/>
          <w:sz w:val="18"/>
          <w:szCs w:val="18"/>
          <w:lang w:val="fr-FR"/>
        </w:rPr>
      </w:pPr>
      <w:r>
        <w:rPr>
          <w:rFonts w:eastAsia="Calibri" w:cs="Calibri"/>
          <w:sz w:val="18"/>
          <w:szCs w:val="18"/>
          <w:lang w:val="it"/>
        </w:rPr>
        <w:t>Potrete fornirci le vostre informazioni dettagliate e conformi:</w:t>
      </w:r>
    </w:p>
    <w:p w14:paraId="430AC857" w14:textId="16766C5A" w:rsidR="00934616" w:rsidRPr="00A11B81" w:rsidRDefault="00934616" w:rsidP="00FC7FE6">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tramite lettera, da trasmettere all’indirizzo 4, rue Jean Monnet L-2180 Lussemburgo,</w:t>
      </w:r>
    </w:p>
    <w:p w14:paraId="6B9DE94E" w14:textId="0C01CB01" w:rsidR="00934616" w:rsidRPr="00A11B81" w:rsidRDefault="00934616" w:rsidP="00FC7FE6">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 per e-mail, da trasmettere all’indirizzo gil_complaint@generali-invest.com, </w:t>
      </w:r>
    </w:p>
    <w:p w14:paraId="2B4CAE73" w14:textId="3BD59432" w:rsidR="00FC7FE6" w:rsidRPr="00A11B81" w:rsidRDefault="00934616" w:rsidP="00FC7FE6">
      <w:pPr>
        <w:widowControl/>
        <w:autoSpaceDE/>
        <w:autoSpaceDN/>
        <w:spacing w:after="160" w:line="259" w:lineRule="auto"/>
        <w:jc w:val="both"/>
        <w:rPr>
          <w:rFonts w:eastAsia="Calibri" w:cs="Calibri"/>
          <w:sz w:val="18"/>
          <w:szCs w:val="18"/>
          <w:lang w:val="fr-FR"/>
        </w:rPr>
      </w:pPr>
      <w:r>
        <w:rPr>
          <w:sz w:val="18"/>
          <w:szCs w:val="18"/>
          <w:lang w:val="it"/>
        </w:rPr>
        <w:t xml:space="preserve">- a mezzo fax, da trasmettere al numero </w:t>
      </w:r>
      <w:r>
        <w:rPr>
          <w:lang w:val="it"/>
        </w:rPr>
        <w:t xml:space="preserve"> </w:t>
      </w:r>
      <w:r>
        <w:rPr>
          <w:sz w:val="18"/>
          <w:szCs w:val="18"/>
          <w:lang w:val="it"/>
        </w:rPr>
        <w:t> +35228373737,</w:t>
      </w:r>
    </w:p>
    <w:p w14:paraId="7E4317F1" w14:textId="563DDDD8" w:rsidR="00934616" w:rsidRPr="00AA65A5" w:rsidRDefault="00934616" w:rsidP="00FC7FE6">
      <w:pPr>
        <w:widowControl/>
        <w:autoSpaceDE/>
        <w:autoSpaceDN/>
        <w:spacing w:after="160" w:line="259" w:lineRule="auto"/>
        <w:jc w:val="both"/>
        <w:rPr>
          <w:rFonts w:eastAsia="Calibri" w:cs="Calibri"/>
          <w:sz w:val="18"/>
          <w:szCs w:val="18"/>
        </w:rPr>
      </w:pPr>
      <w:r>
        <w:rPr>
          <w:rFonts w:eastAsia="Calibri" w:cs="Calibri"/>
          <w:sz w:val="18"/>
          <w:szCs w:val="18"/>
          <w:lang w:val="it"/>
        </w:rPr>
        <w:t>- o online tramite una piattaforma dedicata per i reclami.</w:t>
      </w:r>
    </w:p>
    <w:p w14:paraId="16E4416E" w14:textId="3EAE0F0E" w:rsidR="00DF05A1" w:rsidRPr="00A11B81" w:rsidRDefault="00386190" w:rsidP="004B4965">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Ulteriori informazioni sulla </w:t>
      </w:r>
      <w:bookmarkStart w:id="1" w:name="_Hlk87883563"/>
      <w:r>
        <w:rPr>
          <w:rFonts w:eastAsia="Calibri" w:cs="Calibri"/>
          <w:sz w:val="18"/>
          <w:szCs w:val="18"/>
          <w:lang w:val="it"/>
        </w:rPr>
        <w:t>politica dei reclami della Società di gestione sono disponibili all’indirizzo https://www.generali-investments.lu/content/f64fb4cb-eb91-05b1-3a86-b31e096db55d/GIL_Complaints-Handling-Policy-Statement.pdf.</w:t>
      </w:r>
      <w:bookmarkStart w:id="2" w:name="_Hlk87952510"/>
    </w:p>
    <w:bookmarkEnd w:id="1"/>
    <w:p w14:paraId="54E7C6CF" w14:textId="2BB053BD" w:rsidR="00630275" w:rsidRPr="00A11B81" w:rsidRDefault="00993A15" w:rsidP="00630275">
      <w:pPr>
        <w:widowControl/>
        <w:autoSpaceDE/>
        <w:autoSpaceDN/>
        <w:spacing w:after="160" w:line="259" w:lineRule="auto"/>
        <w:rPr>
          <w:rFonts w:eastAsia="Calibri" w:cs="Calibri"/>
          <w:b/>
          <w:bCs/>
          <w:sz w:val="18"/>
          <w:szCs w:val="18"/>
          <w:lang w:val="fr-FR"/>
        </w:rPr>
      </w:pPr>
      <w:r>
        <w:rPr>
          <w:rFonts w:eastAsia="Calibri" w:cs="Calibri"/>
          <w:b/>
          <w:bCs/>
          <w:sz w:val="18"/>
          <w:szCs w:val="18"/>
          <w:lang w:val="it"/>
        </w:rPr>
        <w:lastRenderedPageBreak/>
        <w:t>2) Risoluzione extragiudiziale dei reclami con la CSSF</w:t>
      </w:r>
    </w:p>
    <w:bookmarkEnd w:id="2"/>
    <w:p w14:paraId="544E331A" w14:textId="7DCB19AA" w:rsidR="00D715C2" w:rsidRPr="00A11B81" w:rsidRDefault="00934616" w:rsidP="00630275">
      <w:pPr>
        <w:widowControl/>
        <w:autoSpaceDE/>
        <w:autoSpaceDN/>
        <w:spacing w:after="160" w:line="259" w:lineRule="auto"/>
        <w:rPr>
          <w:rFonts w:eastAsia="Calibri" w:cs="Calibri"/>
          <w:b/>
          <w:bCs/>
          <w:sz w:val="18"/>
          <w:szCs w:val="18"/>
          <w:lang w:val="fr-FR"/>
        </w:rPr>
      </w:pPr>
      <w:r>
        <w:rPr>
          <w:rFonts w:eastAsia="Calibri" w:cs="Calibri"/>
          <w:sz w:val="18"/>
          <w:szCs w:val="18"/>
          <w:lang w:val="it"/>
        </w:rPr>
        <w:t xml:space="preserve">Se, dopo aver discusso insieme a noi, desiderate comunque avviare una risoluzione in via extragiudiziale, potete presentare il vostro reclamo alla CSSF </w:t>
      </w:r>
      <w:r>
        <w:rPr>
          <w:rFonts w:eastAsia="Calibri" w:cs="Calibri"/>
          <w:b/>
          <w:bCs/>
          <w:sz w:val="18"/>
          <w:szCs w:val="18"/>
          <w:lang w:val="it"/>
        </w:rPr>
        <w:t>solo ove riguardi</w:t>
      </w:r>
      <w:r>
        <w:rPr>
          <w:rFonts w:eastAsia="Calibri" w:cs="Calibri"/>
          <w:sz w:val="18"/>
          <w:szCs w:val="18"/>
          <w:lang w:val="it"/>
        </w:rPr>
        <w:t xml:space="preserve"> </w:t>
      </w:r>
      <w:r>
        <w:rPr>
          <w:rFonts w:eastAsia="Calibri" w:cs="Calibri"/>
          <w:b/>
          <w:bCs/>
          <w:sz w:val="18"/>
          <w:szCs w:val="18"/>
          <w:lang w:val="it"/>
        </w:rPr>
        <w:t>un’entità sottoposta a vigilanza lussemburghese</w:t>
      </w:r>
      <w:r>
        <w:rPr>
          <w:rFonts w:eastAsia="Calibri" w:cs="Calibri"/>
          <w:sz w:val="18"/>
          <w:szCs w:val="18"/>
          <w:lang w:val="it"/>
        </w:rPr>
        <w:t xml:space="preserve">, ossia GIL in qualità di società di gestione/GEFIA. </w:t>
      </w:r>
    </w:p>
    <w:p w14:paraId="62EBB735" w14:textId="7C8A1BA9" w:rsidR="00C93329" w:rsidRPr="00A11B81" w:rsidRDefault="00C93329" w:rsidP="00C93329">
      <w:pPr>
        <w:widowControl/>
        <w:autoSpaceDE/>
        <w:autoSpaceDN/>
        <w:spacing w:after="160" w:line="259" w:lineRule="auto"/>
        <w:jc w:val="both"/>
        <w:rPr>
          <w:rFonts w:eastAsia="Calibri" w:cs="Calibri"/>
          <w:sz w:val="18"/>
          <w:szCs w:val="18"/>
          <w:lang w:val="fr-FR"/>
        </w:rPr>
      </w:pPr>
      <w:r>
        <w:rPr>
          <w:rFonts w:eastAsia="Calibri" w:cs="Calibri"/>
          <w:sz w:val="18"/>
          <w:szCs w:val="18"/>
          <w:lang w:val="it"/>
        </w:rPr>
        <w:t>Per ottenere maggiori dettagli sulla procedura e sulle informazioni da fornire, occorre fare riferimento alla politica della Società di gestione in materia di reclami, che è consultabile all’indirizzo https://www.generali-investments.lu/content/f64fb4cb-eb91-05b1-3a86-b31e096db55d/GIL_Complaints-Handling-Policy-Statement.pdf.</w:t>
      </w:r>
    </w:p>
    <w:p w14:paraId="7690542F" w14:textId="4E2B9B53" w:rsidR="00276403" w:rsidRPr="00A11B81" w:rsidRDefault="00993A15" w:rsidP="00993A15">
      <w:pPr>
        <w:widowControl/>
        <w:autoSpaceDE/>
        <w:autoSpaceDN/>
        <w:spacing w:after="160" w:line="259" w:lineRule="auto"/>
        <w:jc w:val="both"/>
        <w:rPr>
          <w:rFonts w:eastAsia="Calibri" w:cs="Calibri"/>
          <w:b/>
          <w:bCs/>
          <w:sz w:val="18"/>
          <w:szCs w:val="18"/>
          <w:lang w:val="fr-FR"/>
        </w:rPr>
      </w:pPr>
      <w:bookmarkStart w:id="3" w:name="_Hlk87952544"/>
      <w:r>
        <w:rPr>
          <w:rFonts w:eastAsia="Calibri" w:cs="Calibri"/>
          <w:b/>
          <w:bCs/>
          <w:sz w:val="18"/>
          <w:szCs w:val="18"/>
          <w:lang w:val="it"/>
        </w:rPr>
        <w:t>3) Risoluzione di reclami extragiudiziali relativi a un fornitore di servizi finanziari nel vostro paese</w:t>
      </w:r>
    </w:p>
    <w:bookmarkEnd w:id="3"/>
    <w:p w14:paraId="15CDAE40" w14:textId="232CCF0F" w:rsidR="00AF41B0" w:rsidRPr="00A11B81" w:rsidRDefault="00C93329" w:rsidP="00C93329">
      <w:pPr>
        <w:widowControl/>
        <w:autoSpaceDE/>
        <w:autoSpaceDN/>
        <w:spacing w:after="160" w:line="259" w:lineRule="auto"/>
        <w:jc w:val="both"/>
        <w:rPr>
          <w:rFonts w:eastAsia="Calibri" w:cs="Calibri"/>
          <w:sz w:val="18"/>
          <w:szCs w:val="18"/>
          <w:lang w:val="fr-FR"/>
        </w:rPr>
      </w:pPr>
      <w:r>
        <w:rPr>
          <w:rFonts w:eastAsia="Calibri" w:cs="Calibri"/>
          <w:sz w:val="18"/>
          <w:szCs w:val="18"/>
          <w:lang w:val="it"/>
        </w:rPr>
        <w:t>Se il reclamo riguarda un fornitore di servizi finanziari nel vostro paese di residenza, ad esempio una banca, una compagnia di assicurazioni, una società di investimento (ad esempio un gestore di portafoglio, un consulente per gli investimenti ecc.), è necessario rivolgersi anzitutto a tale fornitore di servizi finanziari.</w:t>
      </w:r>
    </w:p>
    <w:p w14:paraId="0289D92D" w14:textId="065D50D7" w:rsidR="00C93329" w:rsidRPr="00A11B81" w:rsidRDefault="00AF41B0" w:rsidP="00C93329">
      <w:pPr>
        <w:widowControl/>
        <w:autoSpaceDE/>
        <w:autoSpaceDN/>
        <w:spacing w:after="160" w:line="259" w:lineRule="auto"/>
        <w:jc w:val="both"/>
        <w:rPr>
          <w:rFonts w:eastAsia="Calibri" w:cs="Calibri"/>
          <w:sz w:val="18"/>
          <w:szCs w:val="18"/>
          <w:lang w:val="fr-FR"/>
        </w:rPr>
      </w:pPr>
      <w:r>
        <w:rPr>
          <w:rFonts w:eastAsia="Calibri" w:cs="Calibri"/>
          <w:sz w:val="18"/>
          <w:szCs w:val="18"/>
          <w:lang w:val="it"/>
        </w:rPr>
        <w:t>Se, dopo aver discusso con questo soggetto, desiderate comunque avviare una risoluzione in via extragiudiziale, potete presentare un reclamo direttamente all’Ombudsman del vostro paese per il tipo specifico di intermediario.</w:t>
      </w:r>
    </w:p>
    <w:p w14:paraId="0027CAAC" w14:textId="4639FB4E" w:rsidR="00C93329" w:rsidRPr="00A11B81" w:rsidRDefault="00276403" w:rsidP="00C93329">
      <w:pPr>
        <w:widowControl/>
        <w:autoSpaceDE/>
        <w:autoSpaceDN/>
        <w:spacing w:after="160" w:line="259" w:lineRule="auto"/>
        <w:jc w:val="both"/>
        <w:rPr>
          <w:rFonts w:eastAsia="Calibri" w:cs="Calibri"/>
          <w:sz w:val="18"/>
          <w:szCs w:val="18"/>
          <w:lang w:val="fr-FR"/>
        </w:rPr>
      </w:pPr>
      <w:r>
        <w:rPr>
          <w:rFonts w:eastAsia="Calibri" w:cs="Calibri"/>
          <w:sz w:val="18"/>
          <w:szCs w:val="18"/>
          <w:lang w:val="it"/>
        </w:rPr>
        <w:t>Di seguito potete reperire il principale Ombudsman (o organismo equivalente) del vostro paese (elenco non esaustivo). Si prega di verificare che l’entità per la quale presentate un reclamo sia membro di questo Ombudsman.</w:t>
      </w:r>
    </w:p>
    <w:tbl>
      <w:tblPr>
        <w:tblStyle w:val="TableGrid"/>
        <w:tblW w:w="9639" w:type="dxa"/>
        <w:tblInd w:w="-5" w:type="dxa"/>
        <w:tblLayout w:type="fixed"/>
        <w:tblLook w:val="04A0" w:firstRow="1" w:lastRow="0" w:firstColumn="1" w:lastColumn="0" w:noHBand="0" w:noVBand="1"/>
      </w:tblPr>
      <w:tblGrid>
        <w:gridCol w:w="851"/>
        <w:gridCol w:w="2126"/>
        <w:gridCol w:w="2126"/>
        <w:gridCol w:w="1843"/>
        <w:gridCol w:w="1559"/>
        <w:gridCol w:w="1134"/>
      </w:tblGrid>
      <w:tr w:rsidR="00780B1D" w:rsidRPr="00F578EE" w14:paraId="17830975" w14:textId="77777777" w:rsidTr="007A4E0C">
        <w:trPr>
          <w:trHeight w:val="262"/>
        </w:trPr>
        <w:tc>
          <w:tcPr>
            <w:tcW w:w="851" w:type="dxa"/>
            <w:shd w:val="clear" w:color="auto" w:fill="auto"/>
            <w:hideMark/>
          </w:tcPr>
          <w:p w14:paraId="3CC4A0D1" w14:textId="77777777" w:rsidR="00780B1D" w:rsidRPr="007A4E0C" w:rsidRDefault="00780B1D" w:rsidP="005368DB">
            <w:pPr>
              <w:jc w:val="center"/>
              <w:rPr>
                <w:b/>
                <w:bCs/>
                <w:color w:val="C00000"/>
                <w:sz w:val="16"/>
                <w:szCs w:val="16"/>
              </w:rPr>
            </w:pPr>
            <w:r>
              <w:rPr>
                <w:b/>
                <w:bCs/>
                <w:color w:val="C00000"/>
                <w:sz w:val="16"/>
                <w:szCs w:val="16"/>
                <w:lang w:val="it"/>
              </w:rPr>
              <w:t>Paese</w:t>
            </w:r>
          </w:p>
        </w:tc>
        <w:tc>
          <w:tcPr>
            <w:tcW w:w="2126" w:type="dxa"/>
          </w:tcPr>
          <w:p w14:paraId="14DF9DBB" w14:textId="431DC0AF" w:rsidR="00780B1D" w:rsidRPr="007A4E0C" w:rsidRDefault="00780B1D" w:rsidP="005368DB">
            <w:pPr>
              <w:jc w:val="center"/>
              <w:rPr>
                <w:b/>
                <w:bCs/>
                <w:color w:val="C00000"/>
                <w:sz w:val="16"/>
                <w:szCs w:val="16"/>
              </w:rPr>
            </w:pPr>
            <w:r>
              <w:rPr>
                <w:b/>
                <w:bCs/>
                <w:color w:val="C00000"/>
                <w:sz w:val="16"/>
                <w:szCs w:val="16"/>
                <w:lang w:val="it"/>
              </w:rPr>
              <w:t>Nome</w:t>
            </w:r>
          </w:p>
        </w:tc>
        <w:tc>
          <w:tcPr>
            <w:tcW w:w="2126" w:type="dxa"/>
            <w:shd w:val="clear" w:color="auto" w:fill="auto"/>
          </w:tcPr>
          <w:p w14:paraId="79A56F51" w14:textId="29C6AA2A" w:rsidR="00780B1D" w:rsidRPr="007A4E0C" w:rsidRDefault="00780B1D" w:rsidP="005368DB">
            <w:pPr>
              <w:jc w:val="center"/>
              <w:rPr>
                <w:b/>
                <w:bCs/>
                <w:color w:val="C00000"/>
                <w:sz w:val="16"/>
                <w:szCs w:val="16"/>
              </w:rPr>
            </w:pPr>
            <w:r>
              <w:rPr>
                <w:b/>
                <w:bCs/>
                <w:color w:val="C00000"/>
                <w:sz w:val="16"/>
                <w:szCs w:val="16"/>
                <w:lang w:val="it"/>
              </w:rPr>
              <w:t>Tipi di intermediari</w:t>
            </w:r>
          </w:p>
        </w:tc>
        <w:tc>
          <w:tcPr>
            <w:tcW w:w="1843" w:type="dxa"/>
            <w:shd w:val="clear" w:color="auto" w:fill="auto"/>
            <w:hideMark/>
          </w:tcPr>
          <w:p w14:paraId="482DBA7B" w14:textId="77777777" w:rsidR="00780B1D" w:rsidRPr="007A4E0C" w:rsidRDefault="00780B1D" w:rsidP="005368DB">
            <w:pPr>
              <w:jc w:val="center"/>
              <w:rPr>
                <w:b/>
                <w:bCs/>
                <w:color w:val="C00000"/>
                <w:sz w:val="16"/>
                <w:szCs w:val="16"/>
              </w:rPr>
            </w:pPr>
            <w:r>
              <w:rPr>
                <w:b/>
                <w:bCs/>
                <w:color w:val="C00000"/>
                <w:sz w:val="16"/>
                <w:szCs w:val="16"/>
                <w:lang w:val="it"/>
              </w:rPr>
              <w:t>Contatto</w:t>
            </w:r>
          </w:p>
        </w:tc>
        <w:tc>
          <w:tcPr>
            <w:tcW w:w="1559" w:type="dxa"/>
            <w:shd w:val="clear" w:color="auto" w:fill="auto"/>
            <w:hideMark/>
          </w:tcPr>
          <w:p w14:paraId="1D57D2BC" w14:textId="77777777" w:rsidR="00780B1D" w:rsidRPr="007A4E0C" w:rsidRDefault="00780B1D" w:rsidP="005368DB">
            <w:pPr>
              <w:jc w:val="center"/>
              <w:rPr>
                <w:b/>
                <w:bCs/>
                <w:color w:val="C00000"/>
                <w:sz w:val="16"/>
                <w:szCs w:val="16"/>
              </w:rPr>
            </w:pPr>
            <w:r>
              <w:rPr>
                <w:b/>
                <w:bCs/>
                <w:color w:val="C00000"/>
                <w:sz w:val="16"/>
                <w:szCs w:val="16"/>
                <w:lang w:val="it"/>
              </w:rPr>
              <w:t>Sito web</w:t>
            </w:r>
          </w:p>
        </w:tc>
        <w:tc>
          <w:tcPr>
            <w:tcW w:w="1134" w:type="dxa"/>
            <w:shd w:val="clear" w:color="auto" w:fill="auto"/>
            <w:hideMark/>
          </w:tcPr>
          <w:p w14:paraId="4D3C25CD" w14:textId="77777777" w:rsidR="00780B1D" w:rsidRPr="007A4E0C" w:rsidRDefault="00780B1D" w:rsidP="005368DB">
            <w:pPr>
              <w:jc w:val="center"/>
              <w:rPr>
                <w:b/>
                <w:bCs/>
                <w:color w:val="C00000"/>
                <w:sz w:val="16"/>
                <w:szCs w:val="16"/>
              </w:rPr>
            </w:pPr>
            <w:r>
              <w:rPr>
                <w:b/>
                <w:bCs/>
                <w:color w:val="C00000"/>
                <w:sz w:val="16"/>
                <w:szCs w:val="16"/>
                <w:lang w:val="it"/>
              </w:rPr>
              <w:t>Lingue</w:t>
            </w:r>
          </w:p>
        </w:tc>
      </w:tr>
      <w:tr w:rsidR="00780B1D" w:rsidRPr="00F578EE" w14:paraId="4F84E7B9" w14:textId="77777777" w:rsidTr="007A4E0C">
        <w:trPr>
          <w:trHeight w:val="570"/>
        </w:trPr>
        <w:tc>
          <w:tcPr>
            <w:tcW w:w="851" w:type="dxa"/>
            <w:vMerge w:val="restart"/>
            <w:shd w:val="clear" w:color="auto" w:fill="auto"/>
            <w:hideMark/>
          </w:tcPr>
          <w:p w14:paraId="190E9B22" w14:textId="754BC0A7" w:rsidR="00780B1D" w:rsidRPr="00F578EE" w:rsidRDefault="00780B1D" w:rsidP="005368DB">
            <w:pPr>
              <w:rPr>
                <w:sz w:val="16"/>
                <w:szCs w:val="16"/>
              </w:rPr>
            </w:pPr>
            <w:r>
              <w:rPr>
                <w:sz w:val="16"/>
                <w:szCs w:val="16"/>
                <w:lang w:val="it"/>
              </w:rPr>
              <w:t>AT</w:t>
            </w:r>
          </w:p>
        </w:tc>
        <w:tc>
          <w:tcPr>
            <w:tcW w:w="2126" w:type="dxa"/>
          </w:tcPr>
          <w:p w14:paraId="25F5187C" w14:textId="6775C9D2" w:rsidR="00780B1D" w:rsidRPr="00F578EE" w:rsidRDefault="00780B1D" w:rsidP="005368DB">
            <w:pPr>
              <w:rPr>
                <w:sz w:val="16"/>
                <w:szCs w:val="16"/>
              </w:rPr>
            </w:pPr>
            <w:r>
              <w:rPr>
                <w:sz w:val="16"/>
                <w:szCs w:val="16"/>
                <w:lang w:val="it"/>
              </w:rPr>
              <w:t>Comitato di conciliazione del settore bancario austriaco</w:t>
            </w:r>
          </w:p>
        </w:tc>
        <w:tc>
          <w:tcPr>
            <w:tcW w:w="2126" w:type="dxa"/>
            <w:shd w:val="clear" w:color="auto" w:fill="auto"/>
          </w:tcPr>
          <w:p w14:paraId="557B6D7C" w14:textId="77777777" w:rsidR="00780B1D" w:rsidRPr="00A11B81" w:rsidRDefault="00780B1D" w:rsidP="005368DB">
            <w:pPr>
              <w:rPr>
                <w:sz w:val="16"/>
                <w:szCs w:val="16"/>
                <w:lang w:val="fr-FR"/>
              </w:rPr>
            </w:pPr>
            <w:r>
              <w:rPr>
                <w:sz w:val="16"/>
                <w:szCs w:val="16"/>
                <w:lang w:val="it"/>
              </w:rPr>
              <w:t>Istituti di credito ipotecario, istituti di pagamento, banche di investimento, la maggior parte delle banche, la maggior parte delle cooperative di credito</w:t>
            </w:r>
          </w:p>
          <w:p w14:paraId="271E9B57" w14:textId="64A97F09" w:rsidR="005368DB" w:rsidRPr="00A11B81" w:rsidRDefault="005368DB" w:rsidP="005368DB">
            <w:pPr>
              <w:rPr>
                <w:sz w:val="16"/>
                <w:szCs w:val="16"/>
                <w:lang w:val="fr-FR"/>
              </w:rPr>
            </w:pPr>
          </w:p>
        </w:tc>
        <w:tc>
          <w:tcPr>
            <w:tcW w:w="1843" w:type="dxa"/>
            <w:shd w:val="clear" w:color="auto" w:fill="auto"/>
            <w:hideMark/>
          </w:tcPr>
          <w:p w14:paraId="2FB47CCA" w14:textId="77777777" w:rsidR="00780B1D" w:rsidRPr="00F578EE" w:rsidRDefault="00780B1D" w:rsidP="005368DB">
            <w:pPr>
              <w:rPr>
                <w:sz w:val="16"/>
                <w:szCs w:val="16"/>
              </w:rPr>
            </w:pPr>
            <w:r>
              <w:rPr>
                <w:sz w:val="16"/>
                <w:szCs w:val="16"/>
                <w:lang w:val="it"/>
              </w:rPr>
              <w:t>office@bankenschlichtung.at</w:t>
            </w:r>
          </w:p>
        </w:tc>
        <w:tc>
          <w:tcPr>
            <w:tcW w:w="1559" w:type="dxa"/>
            <w:shd w:val="clear" w:color="auto" w:fill="auto"/>
            <w:hideMark/>
          </w:tcPr>
          <w:p w14:paraId="3A242F45" w14:textId="77777777" w:rsidR="00780B1D" w:rsidRPr="00F578EE" w:rsidRDefault="00780B1D" w:rsidP="005368DB">
            <w:pPr>
              <w:rPr>
                <w:sz w:val="16"/>
                <w:szCs w:val="16"/>
              </w:rPr>
            </w:pPr>
            <w:r>
              <w:rPr>
                <w:sz w:val="16"/>
                <w:szCs w:val="16"/>
                <w:lang w:val="it"/>
              </w:rPr>
              <w:t>http://www.bankenschlichtung.at/</w:t>
            </w:r>
          </w:p>
        </w:tc>
        <w:tc>
          <w:tcPr>
            <w:tcW w:w="1134" w:type="dxa"/>
            <w:shd w:val="clear" w:color="auto" w:fill="auto"/>
            <w:hideMark/>
          </w:tcPr>
          <w:p w14:paraId="19363466" w14:textId="77777777" w:rsidR="00780B1D" w:rsidRPr="00F578EE" w:rsidRDefault="00780B1D" w:rsidP="005368DB">
            <w:pPr>
              <w:rPr>
                <w:sz w:val="16"/>
                <w:szCs w:val="16"/>
              </w:rPr>
            </w:pPr>
            <w:r>
              <w:rPr>
                <w:sz w:val="16"/>
                <w:szCs w:val="16"/>
                <w:lang w:val="it"/>
              </w:rPr>
              <w:t>Tedesco e inglese</w:t>
            </w:r>
          </w:p>
        </w:tc>
      </w:tr>
      <w:tr w:rsidR="00780B1D" w:rsidRPr="00F578EE" w14:paraId="2A0F3F9F" w14:textId="77777777" w:rsidTr="007A4E0C">
        <w:trPr>
          <w:trHeight w:val="570"/>
        </w:trPr>
        <w:tc>
          <w:tcPr>
            <w:tcW w:w="851" w:type="dxa"/>
            <w:vMerge/>
            <w:shd w:val="clear" w:color="auto" w:fill="auto"/>
          </w:tcPr>
          <w:p w14:paraId="0CEDBC58" w14:textId="77777777" w:rsidR="00780B1D" w:rsidRPr="00F578EE" w:rsidRDefault="00780B1D" w:rsidP="005368DB">
            <w:pPr>
              <w:rPr>
                <w:sz w:val="16"/>
                <w:szCs w:val="16"/>
              </w:rPr>
            </w:pPr>
          </w:p>
        </w:tc>
        <w:tc>
          <w:tcPr>
            <w:tcW w:w="2126" w:type="dxa"/>
          </w:tcPr>
          <w:p w14:paraId="4632B9DD" w14:textId="2CCC6BBC" w:rsidR="00780B1D" w:rsidRPr="00F578EE" w:rsidRDefault="00780B1D" w:rsidP="005368DB">
            <w:pPr>
              <w:rPr>
                <w:sz w:val="16"/>
                <w:szCs w:val="16"/>
              </w:rPr>
            </w:pPr>
            <w:r>
              <w:rPr>
                <w:sz w:val="16"/>
                <w:szCs w:val="16"/>
                <w:lang w:val="it"/>
              </w:rPr>
              <w:t>Collegio arbitrale per le imprese di consumo</w:t>
            </w:r>
          </w:p>
        </w:tc>
        <w:tc>
          <w:tcPr>
            <w:tcW w:w="2126" w:type="dxa"/>
            <w:shd w:val="clear" w:color="auto" w:fill="auto"/>
          </w:tcPr>
          <w:p w14:paraId="358F921B" w14:textId="77777777" w:rsidR="00780B1D" w:rsidRPr="00F578EE" w:rsidRDefault="00780B1D" w:rsidP="005368DB">
            <w:pPr>
              <w:rPr>
                <w:sz w:val="16"/>
                <w:szCs w:val="16"/>
              </w:rPr>
            </w:pPr>
            <w:r>
              <w:rPr>
                <w:sz w:val="16"/>
                <w:szCs w:val="16"/>
                <w:lang w:val="it"/>
              </w:rPr>
              <w:t>Intermediari di mutui ipotecari, compagnie di assicurazione, intermediari assicurativi, intermediari di investimento, intermediari di fondi pensione, alcune banche, alcuni istituti di credito ipotecario, alcune cooperative di credito, alcune banche di investimento, alcuni fornitori di fondi pensione</w:t>
            </w:r>
          </w:p>
          <w:p w14:paraId="175F282E" w14:textId="787B844E" w:rsidR="005368DB" w:rsidRPr="00F578EE" w:rsidRDefault="005368DB" w:rsidP="005368DB">
            <w:pPr>
              <w:rPr>
                <w:sz w:val="16"/>
                <w:szCs w:val="16"/>
              </w:rPr>
            </w:pPr>
          </w:p>
        </w:tc>
        <w:tc>
          <w:tcPr>
            <w:tcW w:w="1843" w:type="dxa"/>
            <w:shd w:val="clear" w:color="auto" w:fill="auto"/>
          </w:tcPr>
          <w:p w14:paraId="4CF7D7FD" w14:textId="360E5707" w:rsidR="00780B1D" w:rsidRPr="00F578EE" w:rsidRDefault="00000000" w:rsidP="005368DB">
            <w:pPr>
              <w:rPr>
                <w:sz w:val="16"/>
                <w:szCs w:val="16"/>
              </w:rPr>
            </w:pPr>
            <w:hyperlink r:id="rId11" w:history="1">
              <w:r w:rsidR="00780B1D">
                <w:rPr>
                  <w:rStyle w:val="Hyperlink"/>
                  <w:color w:val="auto"/>
                  <w:sz w:val="16"/>
                  <w:szCs w:val="16"/>
                  <w:lang w:val="it"/>
                </w:rPr>
                <w:t>office@verbraucherschlichtung.at</w:t>
              </w:r>
            </w:hyperlink>
          </w:p>
        </w:tc>
        <w:tc>
          <w:tcPr>
            <w:tcW w:w="1559" w:type="dxa"/>
            <w:shd w:val="clear" w:color="auto" w:fill="auto"/>
          </w:tcPr>
          <w:p w14:paraId="5B25D528" w14:textId="45852B2D" w:rsidR="00780B1D" w:rsidRPr="00F578EE" w:rsidRDefault="00780B1D" w:rsidP="005368DB">
            <w:pPr>
              <w:rPr>
                <w:sz w:val="16"/>
                <w:szCs w:val="16"/>
              </w:rPr>
            </w:pPr>
            <w:r>
              <w:rPr>
                <w:sz w:val="16"/>
                <w:szCs w:val="16"/>
                <w:lang w:val="it"/>
              </w:rPr>
              <w:t>http://www.verbraucherschlichtung.at/</w:t>
            </w:r>
          </w:p>
        </w:tc>
        <w:tc>
          <w:tcPr>
            <w:tcW w:w="1134" w:type="dxa"/>
            <w:shd w:val="clear" w:color="auto" w:fill="auto"/>
          </w:tcPr>
          <w:p w14:paraId="556F4DF9" w14:textId="08D7282A" w:rsidR="00780B1D" w:rsidRPr="00F578EE" w:rsidRDefault="00780B1D" w:rsidP="005368DB">
            <w:pPr>
              <w:rPr>
                <w:sz w:val="16"/>
                <w:szCs w:val="16"/>
              </w:rPr>
            </w:pPr>
            <w:r>
              <w:rPr>
                <w:sz w:val="16"/>
                <w:szCs w:val="16"/>
                <w:lang w:val="it"/>
              </w:rPr>
              <w:t>Tedesco</w:t>
            </w:r>
          </w:p>
        </w:tc>
      </w:tr>
      <w:tr w:rsidR="00780B1D" w:rsidRPr="00F578EE" w14:paraId="14AB845C" w14:textId="77777777" w:rsidTr="007A4E0C">
        <w:trPr>
          <w:trHeight w:val="570"/>
        </w:trPr>
        <w:tc>
          <w:tcPr>
            <w:tcW w:w="851" w:type="dxa"/>
            <w:vMerge w:val="restart"/>
            <w:shd w:val="clear" w:color="auto" w:fill="auto"/>
            <w:hideMark/>
          </w:tcPr>
          <w:p w14:paraId="38BA86AA" w14:textId="766B2C30" w:rsidR="00780B1D" w:rsidRPr="00F578EE" w:rsidRDefault="00780B1D" w:rsidP="005368DB">
            <w:pPr>
              <w:rPr>
                <w:sz w:val="16"/>
                <w:szCs w:val="16"/>
              </w:rPr>
            </w:pPr>
            <w:r>
              <w:rPr>
                <w:sz w:val="16"/>
                <w:szCs w:val="16"/>
                <w:lang w:val="it"/>
              </w:rPr>
              <w:t>BE</w:t>
            </w:r>
          </w:p>
        </w:tc>
        <w:tc>
          <w:tcPr>
            <w:tcW w:w="2126" w:type="dxa"/>
          </w:tcPr>
          <w:p w14:paraId="6530B3F8" w14:textId="394DDB19" w:rsidR="00780B1D" w:rsidRPr="00F578EE" w:rsidRDefault="00780B1D" w:rsidP="005368DB">
            <w:pPr>
              <w:rPr>
                <w:sz w:val="16"/>
                <w:szCs w:val="16"/>
              </w:rPr>
            </w:pPr>
            <w:r>
              <w:rPr>
                <w:sz w:val="16"/>
                <w:szCs w:val="16"/>
                <w:lang w:val="it"/>
              </w:rPr>
              <w:t>Ombudsfin</w:t>
            </w:r>
          </w:p>
        </w:tc>
        <w:tc>
          <w:tcPr>
            <w:tcW w:w="2126" w:type="dxa"/>
            <w:shd w:val="clear" w:color="auto" w:fill="auto"/>
          </w:tcPr>
          <w:p w14:paraId="2A2B2570" w14:textId="77777777" w:rsidR="00780B1D" w:rsidRPr="00F578EE" w:rsidRDefault="00780B1D" w:rsidP="005368DB">
            <w:pPr>
              <w:rPr>
                <w:sz w:val="16"/>
                <w:szCs w:val="16"/>
              </w:rPr>
            </w:pPr>
            <w:r>
              <w:rPr>
                <w:sz w:val="16"/>
                <w:szCs w:val="16"/>
                <w:lang w:val="it"/>
              </w:rPr>
              <w:t>Banche, istituti di credito ipotecario, cooperative di credito, banche di investimento, intermediari d’investimento, intermediari mobiliari</w:t>
            </w:r>
          </w:p>
          <w:p w14:paraId="3DEAC564" w14:textId="40B2E5EA" w:rsidR="005368DB" w:rsidRPr="00F578EE" w:rsidRDefault="005368DB" w:rsidP="005368DB">
            <w:pPr>
              <w:rPr>
                <w:sz w:val="16"/>
                <w:szCs w:val="16"/>
              </w:rPr>
            </w:pPr>
          </w:p>
        </w:tc>
        <w:tc>
          <w:tcPr>
            <w:tcW w:w="1843" w:type="dxa"/>
            <w:shd w:val="clear" w:color="auto" w:fill="auto"/>
            <w:hideMark/>
          </w:tcPr>
          <w:p w14:paraId="5FE5F1B8" w14:textId="77777777" w:rsidR="00780B1D" w:rsidRPr="00F578EE" w:rsidRDefault="00780B1D" w:rsidP="005368DB">
            <w:pPr>
              <w:rPr>
                <w:sz w:val="16"/>
                <w:szCs w:val="16"/>
              </w:rPr>
            </w:pPr>
            <w:r>
              <w:rPr>
                <w:sz w:val="16"/>
                <w:szCs w:val="16"/>
                <w:lang w:val="it"/>
              </w:rPr>
              <w:t>ombudsman@ombudsfin.be</w:t>
            </w:r>
          </w:p>
        </w:tc>
        <w:tc>
          <w:tcPr>
            <w:tcW w:w="1559" w:type="dxa"/>
            <w:shd w:val="clear" w:color="auto" w:fill="auto"/>
            <w:hideMark/>
          </w:tcPr>
          <w:p w14:paraId="13771928" w14:textId="77777777" w:rsidR="00780B1D" w:rsidRPr="00F578EE" w:rsidRDefault="00780B1D" w:rsidP="005368DB">
            <w:pPr>
              <w:rPr>
                <w:sz w:val="16"/>
                <w:szCs w:val="16"/>
              </w:rPr>
            </w:pPr>
            <w:r>
              <w:rPr>
                <w:sz w:val="16"/>
                <w:szCs w:val="16"/>
                <w:lang w:val="it"/>
              </w:rPr>
              <w:t>http://www.ombudsfin.be/</w:t>
            </w:r>
          </w:p>
        </w:tc>
        <w:tc>
          <w:tcPr>
            <w:tcW w:w="1134" w:type="dxa"/>
            <w:shd w:val="clear" w:color="auto" w:fill="auto"/>
            <w:hideMark/>
          </w:tcPr>
          <w:p w14:paraId="54841E6A" w14:textId="77777777" w:rsidR="00780B1D" w:rsidRDefault="00780B1D" w:rsidP="005368DB">
            <w:pPr>
              <w:rPr>
                <w:sz w:val="16"/>
                <w:szCs w:val="16"/>
              </w:rPr>
            </w:pPr>
            <w:r>
              <w:rPr>
                <w:sz w:val="16"/>
                <w:szCs w:val="16"/>
                <w:lang w:val="it"/>
              </w:rPr>
              <w:t>Olandese, francese, inglese, tedesco</w:t>
            </w:r>
          </w:p>
          <w:p w14:paraId="5B0CC9EE" w14:textId="0AC57773" w:rsidR="001558D0" w:rsidRPr="00F578EE" w:rsidRDefault="001558D0" w:rsidP="005368DB">
            <w:pPr>
              <w:rPr>
                <w:sz w:val="16"/>
                <w:szCs w:val="16"/>
              </w:rPr>
            </w:pPr>
          </w:p>
        </w:tc>
      </w:tr>
      <w:tr w:rsidR="00780B1D" w:rsidRPr="00F578EE" w14:paraId="5AFFF67B" w14:textId="77777777" w:rsidTr="007A4E0C">
        <w:trPr>
          <w:trHeight w:val="570"/>
        </w:trPr>
        <w:tc>
          <w:tcPr>
            <w:tcW w:w="851" w:type="dxa"/>
            <w:vMerge/>
            <w:shd w:val="clear" w:color="auto" w:fill="auto"/>
          </w:tcPr>
          <w:p w14:paraId="043A0573" w14:textId="77777777" w:rsidR="00780B1D" w:rsidRPr="00F578EE" w:rsidRDefault="00780B1D" w:rsidP="005368DB">
            <w:pPr>
              <w:rPr>
                <w:sz w:val="16"/>
                <w:szCs w:val="16"/>
              </w:rPr>
            </w:pPr>
          </w:p>
        </w:tc>
        <w:tc>
          <w:tcPr>
            <w:tcW w:w="2126" w:type="dxa"/>
          </w:tcPr>
          <w:p w14:paraId="5D81C0E0" w14:textId="7ADB12B7" w:rsidR="00780B1D" w:rsidRPr="00F578EE" w:rsidRDefault="00780B1D" w:rsidP="005368DB">
            <w:pPr>
              <w:rPr>
                <w:sz w:val="16"/>
                <w:szCs w:val="16"/>
              </w:rPr>
            </w:pPr>
            <w:r>
              <w:rPr>
                <w:sz w:val="16"/>
                <w:szCs w:val="16"/>
                <w:lang w:val="it"/>
              </w:rPr>
              <w:t>Ombudsman delle assicurazioni</w:t>
            </w:r>
          </w:p>
        </w:tc>
        <w:tc>
          <w:tcPr>
            <w:tcW w:w="2126" w:type="dxa"/>
            <w:shd w:val="clear" w:color="auto" w:fill="auto"/>
          </w:tcPr>
          <w:p w14:paraId="18A05842" w14:textId="77777777" w:rsidR="00780B1D" w:rsidRPr="00A11B81" w:rsidRDefault="00780B1D" w:rsidP="005368DB">
            <w:pPr>
              <w:rPr>
                <w:sz w:val="16"/>
                <w:szCs w:val="16"/>
                <w:lang w:val="fr-FR"/>
              </w:rPr>
            </w:pPr>
            <w:r>
              <w:rPr>
                <w:sz w:val="16"/>
                <w:szCs w:val="16"/>
                <w:lang w:val="it"/>
              </w:rPr>
              <w:t>Compagnie di assicurazione, alcuni intermediari di mutui ipotecari, alcuni intermediari di prodotti pensionistici</w:t>
            </w:r>
          </w:p>
          <w:p w14:paraId="40EFAFFE" w14:textId="5AFF8BBA" w:rsidR="005368DB" w:rsidRPr="00A11B81" w:rsidRDefault="005368DB" w:rsidP="005368DB">
            <w:pPr>
              <w:rPr>
                <w:sz w:val="16"/>
                <w:szCs w:val="16"/>
                <w:lang w:val="fr-FR"/>
              </w:rPr>
            </w:pPr>
          </w:p>
        </w:tc>
        <w:tc>
          <w:tcPr>
            <w:tcW w:w="1843" w:type="dxa"/>
            <w:shd w:val="clear" w:color="auto" w:fill="auto"/>
          </w:tcPr>
          <w:p w14:paraId="0ED1BAA3" w14:textId="153F2337" w:rsidR="00780B1D" w:rsidRPr="00F578EE" w:rsidRDefault="00780B1D" w:rsidP="005368DB">
            <w:pPr>
              <w:rPr>
                <w:sz w:val="16"/>
                <w:szCs w:val="16"/>
              </w:rPr>
            </w:pPr>
            <w:r>
              <w:rPr>
                <w:sz w:val="16"/>
                <w:szCs w:val="16"/>
                <w:lang w:val="it"/>
              </w:rPr>
              <w:t>info@ombudsman.as</w:t>
            </w:r>
          </w:p>
        </w:tc>
        <w:tc>
          <w:tcPr>
            <w:tcW w:w="1559" w:type="dxa"/>
            <w:shd w:val="clear" w:color="auto" w:fill="auto"/>
          </w:tcPr>
          <w:p w14:paraId="1EF1C8DF" w14:textId="018B1EEB" w:rsidR="00780B1D" w:rsidRPr="00F578EE" w:rsidRDefault="00780B1D" w:rsidP="005368DB">
            <w:pPr>
              <w:rPr>
                <w:sz w:val="16"/>
                <w:szCs w:val="16"/>
              </w:rPr>
            </w:pPr>
            <w:r>
              <w:rPr>
                <w:sz w:val="16"/>
                <w:szCs w:val="16"/>
                <w:lang w:val="it"/>
              </w:rPr>
              <w:t>http://www.ombudsman.as/</w:t>
            </w:r>
          </w:p>
        </w:tc>
        <w:tc>
          <w:tcPr>
            <w:tcW w:w="1134" w:type="dxa"/>
            <w:shd w:val="clear" w:color="auto" w:fill="auto"/>
          </w:tcPr>
          <w:p w14:paraId="62124E2E" w14:textId="77777777" w:rsidR="00780B1D" w:rsidRDefault="00780B1D" w:rsidP="005368DB">
            <w:pPr>
              <w:rPr>
                <w:sz w:val="16"/>
                <w:szCs w:val="16"/>
              </w:rPr>
            </w:pPr>
            <w:r>
              <w:rPr>
                <w:sz w:val="16"/>
                <w:szCs w:val="16"/>
                <w:lang w:val="it"/>
              </w:rPr>
              <w:t>Olandese, francese, inglese, tedesco</w:t>
            </w:r>
          </w:p>
          <w:p w14:paraId="3CB3DBB1" w14:textId="3A86D7D1" w:rsidR="001558D0" w:rsidRPr="00F578EE" w:rsidRDefault="001558D0" w:rsidP="005368DB">
            <w:pPr>
              <w:rPr>
                <w:sz w:val="16"/>
                <w:szCs w:val="16"/>
              </w:rPr>
            </w:pPr>
          </w:p>
        </w:tc>
      </w:tr>
      <w:tr w:rsidR="00780B1D" w:rsidRPr="00F578EE" w14:paraId="1795B961" w14:textId="77777777" w:rsidTr="007A4E0C">
        <w:trPr>
          <w:trHeight w:val="570"/>
        </w:trPr>
        <w:tc>
          <w:tcPr>
            <w:tcW w:w="851" w:type="dxa"/>
            <w:shd w:val="clear" w:color="auto" w:fill="auto"/>
            <w:hideMark/>
          </w:tcPr>
          <w:p w14:paraId="3B48C0AE" w14:textId="2EA1D528" w:rsidR="00780B1D" w:rsidRPr="00F578EE" w:rsidRDefault="00780B1D" w:rsidP="005368DB">
            <w:pPr>
              <w:rPr>
                <w:sz w:val="16"/>
                <w:szCs w:val="16"/>
              </w:rPr>
            </w:pPr>
            <w:r>
              <w:rPr>
                <w:sz w:val="16"/>
                <w:szCs w:val="16"/>
                <w:lang w:val="it"/>
              </w:rPr>
              <w:t>CZ</w:t>
            </w:r>
          </w:p>
        </w:tc>
        <w:tc>
          <w:tcPr>
            <w:tcW w:w="2126" w:type="dxa"/>
          </w:tcPr>
          <w:p w14:paraId="5456EFF2" w14:textId="4169DF01" w:rsidR="00780B1D" w:rsidRPr="00F578EE" w:rsidRDefault="00780B1D" w:rsidP="005368DB">
            <w:pPr>
              <w:rPr>
                <w:sz w:val="16"/>
                <w:szCs w:val="16"/>
              </w:rPr>
            </w:pPr>
            <w:r>
              <w:rPr>
                <w:sz w:val="16"/>
                <w:szCs w:val="16"/>
                <w:lang w:val="it"/>
              </w:rPr>
              <w:t>Arbitro finanziario della Repubblica Ceca</w:t>
            </w:r>
          </w:p>
        </w:tc>
        <w:tc>
          <w:tcPr>
            <w:tcW w:w="2126" w:type="dxa"/>
            <w:shd w:val="clear" w:color="auto" w:fill="auto"/>
          </w:tcPr>
          <w:p w14:paraId="00E217FF" w14:textId="666D1DF0" w:rsidR="005368DB" w:rsidRPr="00F578EE" w:rsidRDefault="00780B1D" w:rsidP="007A4E0C">
            <w:pPr>
              <w:rPr>
                <w:sz w:val="16"/>
                <w:szCs w:val="16"/>
              </w:rPr>
            </w:pPr>
            <w:r>
              <w:rPr>
                <w:sz w:val="16"/>
                <w:szCs w:val="16"/>
                <w:lang w:val="it"/>
              </w:rPr>
              <w:t>Banche, istituti di credito ipotecario, cooperative di credito, la maggior parte degli intermediari di mutui ipotecari, la maggior parte dei fornitori di servizi di investimento, altri fornitori di servizi di pagamento (banche estere, istituti finanziari esteri, istituti di moneta elettronica nazionali ed esteri, piccoli emittenti di moneta elettronica, piccoli istituti di pagamento nazionali ed esteri, piccoli istituti di pagamento)</w:t>
            </w:r>
          </w:p>
        </w:tc>
        <w:tc>
          <w:tcPr>
            <w:tcW w:w="1843" w:type="dxa"/>
            <w:shd w:val="clear" w:color="auto" w:fill="auto"/>
            <w:hideMark/>
          </w:tcPr>
          <w:p w14:paraId="42874EA7" w14:textId="77777777" w:rsidR="00780B1D" w:rsidRPr="00F578EE" w:rsidRDefault="00780B1D" w:rsidP="005368DB">
            <w:pPr>
              <w:rPr>
                <w:sz w:val="16"/>
                <w:szCs w:val="16"/>
              </w:rPr>
            </w:pPr>
            <w:r>
              <w:rPr>
                <w:sz w:val="16"/>
                <w:szCs w:val="16"/>
                <w:lang w:val="it"/>
              </w:rPr>
              <w:t>arbitr@finarbitr.cz</w:t>
            </w:r>
          </w:p>
        </w:tc>
        <w:tc>
          <w:tcPr>
            <w:tcW w:w="1559" w:type="dxa"/>
            <w:shd w:val="clear" w:color="auto" w:fill="auto"/>
            <w:hideMark/>
          </w:tcPr>
          <w:p w14:paraId="5BE12C9D" w14:textId="77777777" w:rsidR="00780B1D" w:rsidRPr="00F578EE" w:rsidRDefault="00780B1D" w:rsidP="005368DB">
            <w:pPr>
              <w:rPr>
                <w:sz w:val="16"/>
                <w:szCs w:val="16"/>
              </w:rPr>
            </w:pPr>
            <w:r>
              <w:rPr>
                <w:sz w:val="16"/>
                <w:szCs w:val="16"/>
                <w:lang w:val="it"/>
              </w:rPr>
              <w:t>http://www.finarbitr.cz/en/</w:t>
            </w:r>
          </w:p>
        </w:tc>
        <w:tc>
          <w:tcPr>
            <w:tcW w:w="1134" w:type="dxa"/>
            <w:shd w:val="clear" w:color="auto" w:fill="auto"/>
            <w:hideMark/>
          </w:tcPr>
          <w:p w14:paraId="68797BF8" w14:textId="77777777" w:rsidR="00780B1D" w:rsidRPr="00F578EE" w:rsidRDefault="00780B1D" w:rsidP="005368DB">
            <w:pPr>
              <w:rPr>
                <w:sz w:val="16"/>
                <w:szCs w:val="16"/>
              </w:rPr>
            </w:pPr>
            <w:r>
              <w:rPr>
                <w:sz w:val="16"/>
                <w:szCs w:val="16"/>
                <w:lang w:val="it"/>
              </w:rPr>
              <w:t> </w:t>
            </w:r>
          </w:p>
        </w:tc>
      </w:tr>
    </w:tbl>
    <w:p w14:paraId="5DA5510D" w14:textId="7BEC32BC" w:rsidR="00AB6538" w:rsidRDefault="00AB6538"/>
    <w:p w14:paraId="2F635514" w14:textId="396AA8B1" w:rsidR="00AB6538" w:rsidRDefault="00AB6538"/>
    <w:tbl>
      <w:tblPr>
        <w:tblStyle w:val="TableGrid"/>
        <w:tblW w:w="9639" w:type="dxa"/>
        <w:tblInd w:w="-5" w:type="dxa"/>
        <w:tblLayout w:type="fixed"/>
        <w:tblLook w:val="04A0" w:firstRow="1" w:lastRow="0" w:firstColumn="1" w:lastColumn="0" w:noHBand="0" w:noVBand="1"/>
      </w:tblPr>
      <w:tblGrid>
        <w:gridCol w:w="851"/>
        <w:gridCol w:w="2126"/>
        <w:gridCol w:w="2126"/>
        <w:gridCol w:w="1843"/>
        <w:gridCol w:w="1559"/>
        <w:gridCol w:w="1134"/>
      </w:tblGrid>
      <w:tr w:rsidR="007A4E0C" w:rsidRPr="00F578EE" w14:paraId="6688FD60" w14:textId="77777777" w:rsidTr="007A4E0C">
        <w:trPr>
          <w:trHeight w:val="262"/>
        </w:trPr>
        <w:tc>
          <w:tcPr>
            <w:tcW w:w="851" w:type="dxa"/>
            <w:hideMark/>
          </w:tcPr>
          <w:p w14:paraId="61D2F552" w14:textId="77777777" w:rsidR="007A4E0C" w:rsidRPr="007A4E0C" w:rsidRDefault="007A4E0C">
            <w:pPr>
              <w:jc w:val="center"/>
              <w:rPr>
                <w:b/>
                <w:bCs/>
                <w:color w:val="C00000"/>
                <w:sz w:val="16"/>
                <w:szCs w:val="16"/>
              </w:rPr>
            </w:pPr>
            <w:r>
              <w:rPr>
                <w:b/>
                <w:bCs/>
                <w:color w:val="C00000"/>
                <w:sz w:val="16"/>
                <w:szCs w:val="16"/>
                <w:lang w:val="it"/>
              </w:rPr>
              <w:t>Paese</w:t>
            </w:r>
          </w:p>
        </w:tc>
        <w:tc>
          <w:tcPr>
            <w:tcW w:w="2126" w:type="dxa"/>
          </w:tcPr>
          <w:p w14:paraId="751A47C4" w14:textId="77777777" w:rsidR="007A4E0C" w:rsidRPr="007A4E0C" w:rsidRDefault="007A4E0C">
            <w:pPr>
              <w:jc w:val="center"/>
              <w:rPr>
                <w:b/>
                <w:bCs/>
                <w:color w:val="C00000"/>
                <w:sz w:val="16"/>
                <w:szCs w:val="16"/>
              </w:rPr>
            </w:pPr>
            <w:r>
              <w:rPr>
                <w:b/>
                <w:bCs/>
                <w:color w:val="C00000"/>
                <w:sz w:val="16"/>
                <w:szCs w:val="16"/>
                <w:lang w:val="it"/>
              </w:rPr>
              <w:t>Nome</w:t>
            </w:r>
          </w:p>
        </w:tc>
        <w:tc>
          <w:tcPr>
            <w:tcW w:w="2126" w:type="dxa"/>
          </w:tcPr>
          <w:p w14:paraId="0C402983" w14:textId="77777777" w:rsidR="007A4E0C" w:rsidRPr="007A4E0C" w:rsidRDefault="007A4E0C">
            <w:pPr>
              <w:jc w:val="center"/>
              <w:rPr>
                <w:b/>
                <w:bCs/>
                <w:color w:val="C00000"/>
                <w:sz w:val="16"/>
                <w:szCs w:val="16"/>
              </w:rPr>
            </w:pPr>
            <w:r>
              <w:rPr>
                <w:b/>
                <w:bCs/>
                <w:color w:val="C00000"/>
                <w:sz w:val="16"/>
                <w:szCs w:val="16"/>
                <w:lang w:val="it"/>
              </w:rPr>
              <w:t>Tipi di intermediari</w:t>
            </w:r>
          </w:p>
        </w:tc>
        <w:tc>
          <w:tcPr>
            <w:tcW w:w="1843" w:type="dxa"/>
            <w:hideMark/>
          </w:tcPr>
          <w:p w14:paraId="14852B15" w14:textId="77777777" w:rsidR="007A4E0C" w:rsidRPr="007A4E0C" w:rsidRDefault="007A4E0C">
            <w:pPr>
              <w:jc w:val="center"/>
              <w:rPr>
                <w:b/>
                <w:bCs/>
                <w:color w:val="C00000"/>
                <w:sz w:val="16"/>
                <w:szCs w:val="16"/>
              </w:rPr>
            </w:pPr>
            <w:r>
              <w:rPr>
                <w:b/>
                <w:bCs/>
                <w:color w:val="C00000"/>
                <w:sz w:val="16"/>
                <w:szCs w:val="16"/>
                <w:lang w:val="it"/>
              </w:rPr>
              <w:t>Contatto</w:t>
            </w:r>
          </w:p>
        </w:tc>
        <w:tc>
          <w:tcPr>
            <w:tcW w:w="1559" w:type="dxa"/>
            <w:hideMark/>
          </w:tcPr>
          <w:p w14:paraId="53D289B6" w14:textId="77777777" w:rsidR="007A4E0C" w:rsidRPr="007A4E0C" w:rsidRDefault="007A4E0C">
            <w:pPr>
              <w:jc w:val="center"/>
              <w:rPr>
                <w:b/>
                <w:bCs/>
                <w:color w:val="C00000"/>
                <w:sz w:val="16"/>
                <w:szCs w:val="16"/>
              </w:rPr>
            </w:pPr>
            <w:r>
              <w:rPr>
                <w:b/>
                <w:bCs/>
                <w:color w:val="C00000"/>
                <w:sz w:val="16"/>
                <w:szCs w:val="16"/>
                <w:lang w:val="it"/>
              </w:rPr>
              <w:t>Sito web</w:t>
            </w:r>
          </w:p>
        </w:tc>
        <w:tc>
          <w:tcPr>
            <w:tcW w:w="1134" w:type="dxa"/>
            <w:hideMark/>
          </w:tcPr>
          <w:p w14:paraId="4EF9F717" w14:textId="77777777" w:rsidR="007A4E0C" w:rsidRPr="007A4E0C" w:rsidRDefault="007A4E0C">
            <w:pPr>
              <w:jc w:val="center"/>
              <w:rPr>
                <w:b/>
                <w:bCs/>
                <w:color w:val="C00000"/>
                <w:sz w:val="16"/>
                <w:szCs w:val="16"/>
              </w:rPr>
            </w:pPr>
            <w:r>
              <w:rPr>
                <w:b/>
                <w:bCs/>
                <w:color w:val="C00000"/>
                <w:sz w:val="16"/>
                <w:szCs w:val="16"/>
                <w:lang w:val="it"/>
              </w:rPr>
              <w:t>Lingue</w:t>
            </w:r>
          </w:p>
        </w:tc>
      </w:tr>
      <w:tr w:rsidR="00780B1D" w:rsidRPr="00F578EE" w14:paraId="0CDA4EA5" w14:textId="77777777" w:rsidTr="005368DB">
        <w:trPr>
          <w:trHeight w:val="1140"/>
        </w:trPr>
        <w:tc>
          <w:tcPr>
            <w:tcW w:w="851" w:type="dxa"/>
            <w:vMerge w:val="restart"/>
            <w:shd w:val="clear" w:color="auto" w:fill="auto"/>
            <w:hideMark/>
          </w:tcPr>
          <w:p w14:paraId="4F899E75" w14:textId="49C816E5" w:rsidR="00780B1D" w:rsidRPr="00F578EE" w:rsidRDefault="00780B1D" w:rsidP="005368DB">
            <w:pPr>
              <w:rPr>
                <w:sz w:val="16"/>
                <w:szCs w:val="16"/>
              </w:rPr>
            </w:pPr>
            <w:r>
              <w:rPr>
                <w:sz w:val="16"/>
                <w:szCs w:val="16"/>
                <w:lang w:val="it"/>
              </w:rPr>
              <w:t>FR</w:t>
            </w:r>
          </w:p>
        </w:tc>
        <w:tc>
          <w:tcPr>
            <w:tcW w:w="2126" w:type="dxa"/>
          </w:tcPr>
          <w:p w14:paraId="7E5FE9A5" w14:textId="159D1231" w:rsidR="00780B1D" w:rsidRPr="00F578EE" w:rsidRDefault="00780B1D" w:rsidP="005368DB">
            <w:pPr>
              <w:rPr>
                <w:sz w:val="16"/>
                <w:szCs w:val="16"/>
              </w:rPr>
            </w:pPr>
            <w:r>
              <w:rPr>
                <w:sz w:val="16"/>
                <w:szCs w:val="16"/>
                <w:lang w:val="it"/>
              </w:rPr>
              <w:t>Ombudsman dell’AMF</w:t>
            </w:r>
          </w:p>
        </w:tc>
        <w:tc>
          <w:tcPr>
            <w:tcW w:w="2126" w:type="dxa"/>
            <w:shd w:val="clear" w:color="auto" w:fill="auto"/>
          </w:tcPr>
          <w:p w14:paraId="5110381B" w14:textId="1654F780" w:rsidR="00780B1D" w:rsidRPr="00A11B81" w:rsidRDefault="00780B1D" w:rsidP="005368DB">
            <w:pPr>
              <w:rPr>
                <w:sz w:val="16"/>
                <w:szCs w:val="16"/>
                <w:lang w:val="fr-FR"/>
              </w:rPr>
            </w:pPr>
            <w:r>
              <w:rPr>
                <w:sz w:val="16"/>
                <w:szCs w:val="16"/>
                <w:lang w:val="it"/>
              </w:rPr>
              <w:t>Banche di investimento, la maggior parte degli intermediari di investimento, la maggior parte degli intermediari mobiliari, alcuni fornitori di fondi pensione</w:t>
            </w:r>
          </w:p>
        </w:tc>
        <w:tc>
          <w:tcPr>
            <w:tcW w:w="1843" w:type="dxa"/>
            <w:shd w:val="clear" w:color="auto" w:fill="auto"/>
            <w:hideMark/>
          </w:tcPr>
          <w:p w14:paraId="6700CDFD" w14:textId="1E288CB2" w:rsidR="00780B1D" w:rsidRPr="00A11B81" w:rsidRDefault="00780B1D" w:rsidP="005368DB">
            <w:pPr>
              <w:rPr>
                <w:sz w:val="16"/>
                <w:szCs w:val="16"/>
                <w:lang w:val="fr-FR"/>
              </w:rPr>
            </w:pPr>
            <w:r>
              <w:rPr>
                <w:sz w:val="16"/>
                <w:szCs w:val="16"/>
                <w:lang w:val="it"/>
              </w:rPr>
              <w:t>https://www.amf-france.org/fr/le-mediateur-de-lamf/votre-dossier-de-mediation/vous-voulez-deposer-une-demande-de-mediation</w:t>
            </w:r>
          </w:p>
        </w:tc>
        <w:tc>
          <w:tcPr>
            <w:tcW w:w="1559" w:type="dxa"/>
            <w:shd w:val="clear" w:color="auto" w:fill="auto"/>
            <w:hideMark/>
          </w:tcPr>
          <w:p w14:paraId="24EB5E52" w14:textId="661C79E8" w:rsidR="00780B1D" w:rsidRPr="00A11B81" w:rsidRDefault="00780B1D" w:rsidP="005368DB">
            <w:pPr>
              <w:rPr>
                <w:sz w:val="16"/>
                <w:szCs w:val="16"/>
                <w:lang w:val="fr-FR"/>
              </w:rPr>
            </w:pPr>
            <w:r>
              <w:rPr>
                <w:sz w:val="16"/>
                <w:szCs w:val="16"/>
                <w:lang w:val="it"/>
              </w:rPr>
              <w:t>https://www.amf-france.org/fr</w:t>
            </w:r>
          </w:p>
        </w:tc>
        <w:tc>
          <w:tcPr>
            <w:tcW w:w="1134" w:type="dxa"/>
            <w:shd w:val="clear" w:color="auto" w:fill="auto"/>
            <w:hideMark/>
          </w:tcPr>
          <w:p w14:paraId="748E297B" w14:textId="77777777" w:rsidR="00780B1D" w:rsidRPr="00F578EE" w:rsidRDefault="00780B1D" w:rsidP="005368DB">
            <w:pPr>
              <w:rPr>
                <w:sz w:val="16"/>
                <w:szCs w:val="16"/>
              </w:rPr>
            </w:pPr>
            <w:r>
              <w:rPr>
                <w:sz w:val="16"/>
                <w:szCs w:val="16"/>
                <w:lang w:val="it"/>
              </w:rPr>
              <w:t>Francese e inglese</w:t>
            </w:r>
          </w:p>
        </w:tc>
      </w:tr>
      <w:tr w:rsidR="00780B1D" w:rsidRPr="00F578EE" w14:paraId="7FB083A1" w14:textId="77777777" w:rsidTr="0056734C">
        <w:trPr>
          <w:trHeight w:val="770"/>
        </w:trPr>
        <w:tc>
          <w:tcPr>
            <w:tcW w:w="851" w:type="dxa"/>
            <w:vMerge/>
            <w:shd w:val="clear" w:color="auto" w:fill="auto"/>
          </w:tcPr>
          <w:p w14:paraId="12A86188" w14:textId="77777777" w:rsidR="00780B1D" w:rsidRPr="00F578EE" w:rsidRDefault="00780B1D" w:rsidP="005368DB">
            <w:pPr>
              <w:rPr>
                <w:sz w:val="16"/>
                <w:szCs w:val="16"/>
              </w:rPr>
            </w:pPr>
          </w:p>
        </w:tc>
        <w:tc>
          <w:tcPr>
            <w:tcW w:w="2126" w:type="dxa"/>
          </w:tcPr>
          <w:p w14:paraId="6E20BDEE" w14:textId="45CF99B2" w:rsidR="00780B1D" w:rsidRPr="00F578EE" w:rsidRDefault="00780B1D" w:rsidP="005368DB">
            <w:pPr>
              <w:rPr>
                <w:sz w:val="16"/>
                <w:szCs w:val="16"/>
              </w:rPr>
            </w:pPr>
            <w:r>
              <w:rPr>
                <w:sz w:val="16"/>
                <w:szCs w:val="16"/>
                <w:lang w:val="it"/>
              </w:rPr>
              <w:t>Mediatore dell’Associazione francese delle società finanziarie specializzate</w:t>
            </w:r>
          </w:p>
        </w:tc>
        <w:tc>
          <w:tcPr>
            <w:tcW w:w="2126" w:type="dxa"/>
            <w:shd w:val="clear" w:color="auto" w:fill="auto"/>
          </w:tcPr>
          <w:p w14:paraId="60B25F4B" w14:textId="3E2C89C2" w:rsidR="00780B1D" w:rsidRPr="00F578EE" w:rsidRDefault="00780B1D" w:rsidP="005368DB">
            <w:pPr>
              <w:rPr>
                <w:sz w:val="16"/>
                <w:szCs w:val="16"/>
              </w:rPr>
            </w:pPr>
            <w:r>
              <w:rPr>
                <w:sz w:val="16"/>
                <w:szCs w:val="16"/>
                <w:lang w:val="it"/>
              </w:rPr>
              <w:t>La maggior parte delle cooperative di credito, alcune banche, alcuni istituti di credito ipotecario</w:t>
            </w:r>
          </w:p>
        </w:tc>
        <w:tc>
          <w:tcPr>
            <w:tcW w:w="1843" w:type="dxa"/>
            <w:shd w:val="clear" w:color="auto" w:fill="auto"/>
          </w:tcPr>
          <w:p w14:paraId="0524BBC0" w14:textId="61D5CA22" w:rsidR="00780B1D" w:rsidRPr="00F578EE" w:rsidRDefault="00780B1D" w:rsidP="005368DB">
            <w:pPr>
              <w:rPr>
                <w:sz w:val="16"/>
                <w:szCs w:val="16"/>
              </w:rPr>
            </w:pPr>
            <w:r>
              <w:rPr>
                <w:sz w:val="16"/>
                <w:szCs w:val="16"/>
                <w:lang w:val="it"/>
              </w:rPr>
              <w:t>mediateur@asf-france.com</w:t>
            </w:r>
          </w:p>
        </w:tc>
        <w:tc>
          <w:tcPr>
            <w:tcW w:w="1559" w:type="dxa"/>
            <w:shd w:val="clear" w:color="auto" w:fill="auto"/>
          </w:tcPr>
          <w:p w14:paraId="6D43794F" w14:textId="30F9E982" w:rsidR="00780B1D" w:rsidRPr="00F578EE" w:rsidRDefault="00780B1D" w:rsidP="005368DB">
            <w:pPr>
              <w:rPr>
                <w:sz w:val="16"/>
                <w:szCs w:val="16"/>
              </w:rPr>
            </w:pPr>
            <w:r>
              <w:rPr>
                <w:sz w:val="16"/>
                <w:szCs w:val="16"/>
                <w:lang w:val="it"/>
              </w:rPr>
              <w:t>https://lemediateur.asf-france.com/</w:t>
            </w:r>
          </w:p>
        </w:tc>
        <w:tc>
          <w:tcPr>
            <w:tcW w:w="1134" w:type="dxa"/>
            <w:shd w:val="clear" w:color="auto" w:fill="auto"/>
          </w:tcPr>
          <w:p w14:paraId="5091AD41" w14:textId="77509A30" w:rsidR="00780B1D" w:rsidRPr="00F578EE" w:rsidRDefault="00780B1D" w:rsidP="005368DB">
            <w:pPr>
              <w:rPr>
                <w:sz w:val="16"/>
                <w:szCs w:val="16"/>
              </w:rPr>
            </w:pPr>
            <w:r>
              <w:rPr>
                <w:sz w:val="16"/>
                <w:szCs w:val="16"/>
                <w:lang w:val="it"/>
              </w:rPr>
              <w:t>Francese e inglese</w:t>
            </w:r>
          </w:p>
        </w:tc>
      </w:tr>
      <w:tr w:rsidR="00780B1D" w:rsidRPr="00F578EE" w14:paraId="0AD9D2C1" w14:textId="77777777" w:rsidTr="007A4E0C">
        <w:trPr>
          <w:trHeight w:val="906"/>
        </w:trPr>
        <w:tc>
          <w:tcPr>
            <w:tcW w:w="851" w:type="dxa"/>
            <w:vMerge/>
            <w:shd w:val="clear" w:color="auto" w:fill="auto"/>
          </w:tcPr>
          <w:p w14:paraId="26EE3DCD" w14:textId="77777777" w:rsidR="00780B1D" w:rsidRPr="00F578EE" w:rsidRDefault="00780B1D" w:rsidP="005368DB">
            <w:pPr>
              <w:rPr>
                <w:sz w:val="16"/>
                <w:szCs w:val="16"/>
              </w:rPr>
            </w:pPr>
          </w:p>
        </w:tc>
        <w:tc>
          <w:tcPr>
            <w:tcW w:w="2126" w:type="dxa"/>
          </w:tcPr>
          <w:p w14:paraId="5A985A93" w14:textId="48482ED6" w:rsidR="00780B1D" w:rsidRPr="00F578EE" w:rsidRDefault="00780B1D" w:rsidP="005368DB">
            <w:pPr>
              <w:rPr>
                <w:sz w:val="16"/>
                <w:szCs w:val="16"/>
              </w:rPr>
            </w:pPr>
            <w:r>
              <w:rPr>
                <w:sz w:val="16"/>
                <w:szCs w:val="16"/>
                <w:lang w:val="it"/>
              </w:rPr>
              <w:t>Mediatore assicurativo</w:t>
            </w:r>
          </w:p>
        </w:tc>
        <w:tc>
          <w:tcPr>
            <w:tcW w:w="2126" w:type="dxa"/>
            <w:shd w:val="clear" w:color="auto" w:fill="auto"/>
          </w:tcPr>
          <w:p w14:paraId="1CC5AEA7" w14:textId="1BE29D51" w:rsidR="00780B1D" w:rsidRPr="00A11B81" w:rsidRDefault="00780B1D" w:rsidP="005368DB">
            <w:pPr>
              <w:rPr>
                <w:sz w:val="16"/>
                <w:szCs w:val="16"/>
                <w:lang w:val="fr-FR"/>
              </w:rPr>
            </w:pPr>
            <w:r>
              <w:rPr>
                <w:sz w:val="16"/>
                <w:szCs w:val="16"/>
                <w:lang w:val="it"/>
              </w:rPr>
              <w:t>Compagnie di assicurazione, alcune cooperative di credito, alcuni intermediari assicurativi, alcuni fornitori di fondi pensione</w:t>
            </w:r>
          </w:p>
        </w:tc>
        <w:tc>
          <w:tcPr>
            <w:tcW w:w="1843" w:type="dxa"/>
            <w:shd w:val="clear" w:color="auto" w:fill="auto"/>
          </w:tcPr>
          <w:p w14:paraId="6C92C729" w14:textId="34510D4C" w:rsidR="00780B1D" w:rsidRPr="00A11B81" w:rsidRDefault="00780B1D" w:rsidP="005368DB">
            <w:pPr>
              <w:rPr>
                <w:sz w:val="16"/>
                <w:szCs w:val="16"/>
                <w:lang w:val="fr-FR"/>
              </w:rPr>
            </w:pPr>
            <w:r>
              <w:rPr>
                <w:sz w:val="16"/>
                <w:szCs w:val="16"/>
                <w:lang w:val="it"/>
              </w:rPr>
              <w:t>le.mediateur@mediation-assurance.org</w:t>
            </w:r>
          </w:p>
        </w:tc>
        <w:tc>
          <w:tcPr>
            <w:tcW w:w="1559" w:type="dxa"/>
            <w:shd w:val="clear" w:color="auto" w:fill="auto"/>
          </w:tcPr>
          <w:p w14:paraId="55EF71E5" w14:textId="410FC5E3" w:rsidR="00780B1D" w:rsidRPr="00A11B81" w:rsidRDefault="00780B1D" w:rsidP="005368DB">
            <w:pPr>
              <w:rPr>
                <w:sz w:val="16"/>
                <w:szCs w:val="16"/>
                <w:lang w:val="fr-FR"/>
              </w:rPr>
            </w:pPr>
            <w:r>
              <w:rPr>
                <w:sz w:val="16"/>
                <w:szCs w:val="16"/>
                <w:lang w:val="it"/>
              </w:rPr>
              <w:t>http://www.mediation-assurance.org/</w:t>
            </w:r>
          </w:p>
        </w:tc>
        <w:tc>
          <w:tcPr>
            <w:tcW w:w="1134" w:type="dxa"/>
            <w:shd w:val="clear" w:color="auto" w:fill="auto"/>
          </w:tcPr>
          <w:p w14:paraId="5DF13DB9" w14:textId="04D4DC0C" w:rsidR="00780B1D" w:rsidRPr="00F578EE" w:rsidRDefault="00780B1D" w:rsidP="005368DB">
            <w:pPr>
              <w:rPr>
                <w:sz w:val="16"/>
                <w:szCs w:val="16"/>
              </w:rPr>
            </w:pPr>
            <w:r>
              <w:rPr>
                <w:sz w:val="16"/>
                <w:szCs w:val="16"/>
                <w:lang w:val="it"/>
              </w:rPr>
              <w:t>Francese e inglese</w:t>
            </w:r>
          </w:p>
        </w:tc>
      </w:tr>
      <w:tr w:rsidR="00780B1D" w:rsidRPr="00F578EE" w14:paraId="593FAB45" w14:textId="77777777" w:rsidTr="005368DB">
        <w:trPr>
          <w:trHeight w:val="570"/>
        </w:trPr>
        <w:tc>
          <w:tcPr>
            <w:tcW w:w="851" w:type="dxa"/>
            <w:vMerge w:val="restart"/>
            <w:shd w:val="clear" w:color="auto" w:fill="auto"/>
            <w:hideMark/>
          </w:tcPr>
          <w:p w14:paraId="2E07C644" w14:textId="63AB84F2" w:rsidR="00780B1D" w:rsidRPr="00F578EE" w:rsidRDefault="00780B1D" w:rsidP="005368DB">
            <w:pPr>
              <w:rPr>
                <w:sz w:val="16"/>
                <w:szCs w:val="16"/>
              </w:rPr>
            </w:pPr>
            <w:r>
              <w:rPr>
                <w:sz w:val="16"/>
                <w:szCs w:val="16"/>
                <w:lang w:val="it"/>
              </w:rPr>
              <w:t>DE</w:t>
            </w:r>
          </w:p>
        </w:tc>
        <w:tc>
          <w:tcPr>
            <w:tcW w:w="2126" w:type="dxa"/>
          </w:tcPr>
          <w:p w14:paraId="6A93D104" w14:textId="1439942C" w:rsidR="00780B1D" w:rsidRPr="00A11B81" w:rsidRDefault="00780B1D" w:rsidP="005368DB">
            <w:pPr>
              <w:rPr>
                <w:sz w:val="16"/>
                <w:szCs w:val="16"/>
                <w:lang w:val="fr-FR"/>
              </w:rPr>
            </w:pPr>
            <w:r>
              <w:rPr>
                <w:sz w:val="16"/>
                <w:szCs w:val="16"/>
                <w:lang w:val="it"/>
              </w:rPr>
              <w:t>Collegio arbitrale per gli investimenti immobiliari</w:t>
            </w:r>
          </w:p>
        </w:tc>
        <w:tc>
          <w:tcPr>
            <w:tcW w:w="2126" w:type="dxa"/>
            <w:shd w:val="clear" w:color="auto" w:fill="auto"/>
          </w:tcPr>
          <w:p w14:paraId="57B16E1E" w14:textId="306D4BC7" w:rsidR="005368DB" w:rsidRPr="00A11B81" w:rsidRDefault="00780B1D" w:rsidP="007A4E0C">
            <w:pPr>
              <w:rPr>
                <w:sz w:val="16"/>
                <w:szCs w:val="16"/>
                <w:lang w:val="fr-FR"/>
              </w:rPr>
            </w:pPr>
            <w:r>
              <w:rPr>
                <w:sz w:val="16"/>
                <w:szCs w:val="16"/>
                <w:lang w:val="it"/>
              </w:rPr>
              <w:t>Gestori di fondi di investimento alternativi (GEFIA), gestori di fondi chiusi, società fiduciarie, fondi di investimento alternativi, fondi chiusi</w:t>
            </w:r>
          </w:p>
        </w:tc>
        <w:tc>
          <w:tcPr>
            <w:tcW w:w="1843" w:type="dxa"/>
            <w:shd w:val="clear" w:color="auto" w:fill="auto"/>
            <w:hideMark/>
          </w:tcPr>
          <w:p w14:paraId="777BB2BA" w14:textId="77777777" w:rsidR="00780B1D" w:rsidRPr="00F578EE" w:rsidRDefault="00780B1D" w:rsidP="005368DB">
            <w:pPr>
              <w:rPr>
                <w:sz w:val="16"/>
                <w:szCs w:val="16"/>
              </w:rPr>
            </w:pPr>
            <w:r>
              <w:rPr>
                <w:sz w:val="16"/>
                <w:szCs w:val="16"/>
                <w:lang w:val="it"/>
              </w:rPr>
              <w:t>info@ombudsstelle.com</w:t>
            </w:r>
          </w:p>
        </w:tc>
        <w:tc>
          <w:tcPr>
            <w:tcW w:w="1559" w:type="dxa"/>
            <w:shd w:val="clear" w:color="auto" w:fill="auto"/>
            <w:hideMark/>
          </w:tcPr>
          <w:p w14:paraId="5F848C78" w14:textId="77777777" w:rsidR="00780B1D" w:rsidRPr="00F578EE" w:rsidRDefault="00780B1D" w:rsidP="005368DB">
            <w:pPr>
              <w:rPr>
                <w:sz w:val="16"/>
                <w:szCs w:val="16"/>
              </w:rPr>
            </w:pPr>
            <w:r>
              <w:rPr>
                <w:sz w:val="16"/>
                <w:szCs w:val="16"/>
                <w:lang w:val="it"/>
              </w:rPr>
              <w:t>http://www.ombudsstelle.com/</w:t>
            </w:r>
          </w:p>
        </w:tc>
        <w:tc>
          <w:tcPr>
            <w:tcW w:w="1134" w:type="dxa"/>
            <w:shd w:val="clear" w:color="auto" w:fill="auto"/>
            <w:hideMark/>
          </w:tcPr>
          <w:p w14:paraId="7B0DBE04" w14:textId="77777777" w:rsidR="00780B1D" w:rsidRPr="00F578EE" w:rsidRDefault="00780B1D" w:rsidP="005368DB">
            <w:pPr>
              <w:rPr>
                <w:sz w:val="16"/>
                <w:szCs w:val="16"/>
              </w:rPr>
            </w:pPr>
            <w:r>
              <w:rPr>
                <w:sz w:val="16"/>
                <w:szCs w:val="16"/>
                <w:lang w:val="it"/>
              </w:rPr>
              <w:t>Tedesco e inglese</w:t>
            </w:r>
          </w:p>
        </w:tc>
      </w:tr>
      <w:tr w:rsidR="00780B1D" w:rsidRPr="00F578EE" w14:paraId="2B8FE44A" w14:textId="77777777" w:rsidTr="005368DB">
        <w:trPr>
          <w:trHeight w:val="570"/>
        </w:trPr>
        <w:tc>
          <w:tcPr>
            <w:tcW w:w="851" w:type="dxa"/>
            <w:vMerge/>
            <w:shd w:val="clear" w:color="auto" w:fill="auto"/>
          </w:tcPr>
          <w:p w14:paraId="01C93624" w14:textId="77777777" w:rsidR="00780B1D" w:rsidRPr="00F578EE" w:rsidRDefault="00780B1D" w:rsidP="005368DB">
            <w:pPr>
              <w:rPr>
                <w:sz w:val="16"/>
                <w:szCs w:val="16"/>
              </w:rPr>
            </w:pPr>
          </w:p>
        </w:tc>
        <w:tc>
          <w:tcPr>
            <w:tcW w:w="2126" w:type="dxa"/>
          </w:tcPr>
          <w:p w14:paraId="2E2F1A7C" w14:textId="7FF619F2" w:rsidR="00780B1D" w:rsidRPr="00F578EE" w:rsidRDefault="00780B1D" w:rsidP="005368DB">
            <w:pPr>
              <w:rPr>
                <w:sz w:val="16"/>
                <w:szCs w:val="16"/>
              </w:rPr>
            </w:pPr>
            <w:r>
              <w:rPr>
                <w:sz w:val="16"/>
                <w:szCs w:val="16"/>
                <w:lang w:val="it"/>
              </w:rPr>
              <w:t>Ombudsman delle banche cooperative tedesche</w:t>
            </w:r>
          </w:p>
        </w:tc>
        <w:tc>
          <w:tcPr>
            <w:tcW w:w="2126" w:type="dxa"/>
            <w:shd w:val="clear" w:color="auto" w:fill="auto"/>
          </w:tcPr>
          <w:p w14:paraId="1F2EAE17" w14:textId="2C79FD04" w:rsidR="00780B1D" w:rsidRPr="00A11B81" w:rsidRDefault="00780B1D" w:rsidP="005368DB">
            <w:pPr>
              <w:rPr>
                <w:sz w:val="16"/>
                <w:szCs w:val="16"/>
                <w:lang w:val="fr-FR"/>
              </w:rPr>
            </w:pPr>
            <w:r>
              <w:rPr>
                <w:sz w:val="16"/>
                <w:szCs w:val="16"/>
                <w:lang w:val="it"/>
              </w:rPr>
              <w:t>La maggior parte delle banche, alcuni istituti di credito ipotecario</w:t>
            </w:r>
          </w:p>
        </w:tc>
        <w:tc>
          <w:tcPr>
            <w:tcW w:w="1843" w:type="dxa"/>
            <w:shd w:val="clear" w:color="auto" w:fill="auto"/>
          </w:tcPr>
          <w:p w14:paraId="1B2611BA" w14:textId="611D9ACC" w:rsidR="00780B1D" w:rsidRPr="00F578EE" w:rsidRDefault="00780B1D" w:rsidP="005368DB">
            <w:pPr>
              <w:rPr>
                <w:sz w:val="16"/>
                <w:szCs w:val="16"/>
              </w:rPr>
            </w:pPr>
            <w:r>
              <w:rPr>
                <w:sz w:val="16"/>
                <w:szCs w:val="16"/>
                <w:lang w:val="it"/>
              </w:rPr>
              <w:t>kundenbeschwerdestelle@bvr.de</w:t>
            </w:r>
          </w:p>
        </w:tc>
        <w:tc>
          <w:tcPr>
            <w:tcW w:w="1559" w:type="dxa"/>
            <w:shd w:val="clear" w:color="auto" w:fill="auto"/>
          </w:tcPr>
          <w:p w14:paraId="1E82CDC3" w14:textId="0E347954" w:rsidR="00780B1D" w:rsidRPr="00F578EE" w:rsidRDefault="00780B1D" w:rsidP="005368DB">
            <w:pPr>
              <w:rPr>
                <w:sz w:val="16"/>
                <w:szCs w:val="16"/>
              </w:rPr>
            </w:pPr>
            <w:r>
              <w:rPr>
                <w:sz w:val="16"/>
                <w:szCs w:val="16"/>
                <w:lang w:val="it"/>
              </w:rPr>
              <w:t>http://www.bvr.de/</w:t>
            </w:r>
          </w:p>
        </w:tc>
        <w:tc>
          <w:tcPr>
            <w:tcW w:w="1134" w:type="dxa"/>
            <w:shd w:val="clear" w:color="auto" w:fill="auto"/>
          </w:tcPr>
          <w:p w14:paraId="1B1C665E" w14:textId="639CCEA9" w:rsidR="00780B1D" w:rsidRPr="00F578EE" w:rsidRDefault="00780B1D" w:rsidP="005368DB">
            <w:pPr>
              <w:rPr>
                <w:sz w:val="16"/>
                <w:szCs w:val="16"/>
              </w:rPr>
            </w:pPr>
            <w:r>
              <w:rPr>
                <w:sz w:val="16"/>
                <w:szCs w:val="16"/>
                <w:lang w:val="it"/>
              </w:rPr>
              <w:t>Tedesco e inglese</w:t>
            </w:r>
          </w:p>
        </w:tc>
      </w:tr>
      <w:tr w:rsidR="00780B1D" w:rsidRPr="00F578EE" w14:paraId="4488FA03" w14:textId="77777777" w:rsidTr="005368DB">
        <w:trPr>
          <w:trHeight w:val="570"/>
        </w:trPr>
        <w:tc>
          <w:tcPr>
            <w:tcW w:w="851" w:type="dxa"/>
            <w:vMerge/>
            <w:shd w:val="clear" w:color="auto" w:fill="auto"/>
          </w:tcPr>
          <w:p w14:paraId="39A15FE5" w14:textId="77777777" w:rsidR="00780B1D" w:rsidRPr="00F578EE" w:rsidRDefault="00780B1D" w:rsidP="005368DB">
            <w:pPr>
              <w:rPr>
                <w:sz w:val="16"/>
                <w:szCs w:val="16"/>
              </w:rPr>
            </w:pPr>
          </w:p>
        </w:tc>
        <w:tc>
          <w:tcPr>
            <w:tcW w:w="2126" w:type="dxa"/>
          </w:tcPr>
          <w:p w14:paraId="0F32351B" w14:textId="1F4E6170" w:rsidR="00780B1D" w:rsidRPr="00A11B81" w:rsidRDefault="00780B1D" w:rsidP="005368DB">
            <w:pPr>
              <w:rPr>
                <w:sz w:val="16"/>
                <w:szCs w:val="16"/>
                <w:lang w:val="fr-FR"/>
              </w:rPr>
            </w:pPr>
            <w:r>
              <w:rPr>
                <w:sz w:val="16"/>
                <w:szCs w:val="16"/>
                <w:lang w:val="it"/>
              </w:rPr>
              <w:t>Associazione tedesca delle casse di risparmio</w:t>
            </w:r>
          </w:p>
        </w:tc>
        <w:tc>
          <w:tcPr>
            <w:tcW w:w="2126" w:type="dxa"/>
            <w:shd w:val="clear" w:color="auto" w:fill="auto"/>
          </w:tcPr>
          <w:p w14:paraId="7EE8AA81" w14:textId="754A9BB3" w:rsidR="00780B1D" w:rsidRPr="00A11B81" w:rsidRDefault="00780B1D" w:rsidP="005368DB">
            <w:pPr>
              <w:rPr>
                <w:sz w:val="16"/>
                <w:szCs w:val="16"/>
                <w:lang w:val="fr-FR"/>
              </w:rPr>
            </w:pPr>
            <w:r>
              <w:rPr>
                <w:sz w:val="16"/>
                <w:szCs w:val="16"/>
                <w:lang w:val="it"/>
              </w:rPr>
              <w:t>Solo le casse di risparmio tedesche</w:t>
            </w:r>
          </w:p>
        </w:tc>
        <w:tc>
          <w:tcPr>
            <w:tcW w:w="1843" w:type="dxa"/>
            <w:shd w:val="clear" w:color="auto" w:fill="auto"/>
          </w:tcPr>
          <w:p w14:paraId="040BA85F" w14:textId="5EBC8557" w:rsidR="00780B1D" w:rsidRPr="00F578EE" w:rsidRDefault="00780B1D" w:rsidP="005368DB">
            <w:pPr>
              <w:rPr>
                <w:sz w:val="16"/>
                <w:szCs w:val="16"/>
              </w:rPr>
            </w:pPr>
            <w:r>
              <w:rPr>
                <w:sz w:val="16"/>
                <w:szCs w:val="16"/>
                <w:lang w:val="it"/>
              </w:rPr>
              <w:t>schlichtung@dsgv.de</w:t>
            </w:r>
          </w:p>
        </w:tc>
        <w:tc>
          <w:tcPr>
            <w:tcW w:w="1559" w:type="dxa"/>
            <w:shd w:val="clear" w:color="auto" w:fill="auto"/>
          </w:tcPr>
          <w:p w14:paraId="4E470819" w14:textId="0526A332" w:rsidR="00780B1D" w:rsidRPr="00F578EE" w:rsidRDefault="00780B1D" w:rsidP="005368DB">
            <w:pPr>
              <w:rPr>
                <w:sz w:val="16"/>
                <w:szCs w:val="16"/>
              </w:rPr>
            </w:pPr>
            <w:r>
              <w:rPr>
                <w:sz w:val="16"/>
                <w:szCs w:val="16"/>
                <w:lang w:val="it"/>
              </w:rPr>
              <w:t>http://www.dsgv.de/de/</w:t>
            </w:r>
          </w:p>
        </w:tc>
        <w:tc>
          <w:tcPr>
            <w:tcW w:w="1134" w:type="dxa"/>
            <w:shd w:val="clear" w:color="auto" w:fill="auto"/>
          </w:tcPr>
          <w:p w14:paraId="29049AE4" w14:textId="77777777" w:rsidR="00780B1D" w:rsidRDefault="00780B1D" w:rsidP="005368DB">
            <w:pPr>
              <w:rPr>
                <w:sz w:val="16"/>
                <w:szCs w:val="16"/>
              </w:rPr>
            </w:pPr>
            <w:r>
              <w:rPr>
                <w:sz w:val="16"/>
                <w:szCs w:val="16"/>
                <w:lang w:val="it"/>
              </w:rPr>
              <w:t>Tedesco e, se richiesto, inglese</w:t>
            </w:r>
          </w:p>
          <w:p w14:paraId="160E7AC8" w14:textId="386F8315" w:rsidR="001558D0" w:rsidRPr="00F578EE" w:rsidRDefault="001558D0" w:rsidP="005368DB">
            <w:pPr>
              <w:rPr>
                <w:sz w:val="16"/>
                <w:szCs w:val="16"/>
              </w:rPr>
            </w:pPr>
          </w:p>
        </w:tc>
      </w:tr>
      <w:tr w:rsidR="00780B1D" w:rsidRPr="00F578EE" w14:paraId="7DB5D6C8" w14:textId="77777777" w:rsidTr="005368DB">
        <w:trPr>
          <w:trHeight w:val="570"/>
        </w:trPr>
        <w:tc>
          <w:tcPr>
            <w:tcW w:w="851" w:type="dxa"/>
            <w:vMerge/>
            <w:shd w:val="clear" w:color="auto" w:fill="auto"/>
          </w:tcPr>
          <w:p w14:paraId="67204E38" w14:textId="77777777" w:rsidR="00780B1D" w:rsidRPr="00F578EE" w:rsidRDefault="00780B1D" w:rsidP="005368DB">
            <w:pPr>
              <w:rPr>
                <w:sz w:val="16"/>
                <w:szCs w:val="16"/>
              </w:rPr>
            </w:pPr>
          </w:p>
        </w:tc>
        <w:tc>
          <w:tcPr>
            <w:tcW w:w="2126" w:type="dxa"/>
          </w:tcPr>
          <w:p w14:paraId="77D179A7" w14:textId="1CFCB75E" w:rsidR="00780B1D" w:rsidRPr="00F578EE" w:rsidRDefault="00780B1D" w:rsidP="005368DB">
            <w:pPr>
              <w:rPr>
                <w:sz w:val="16"/>
                <w:szCs w:val="16"/>
              </w:rPr>
            </w:pPr>
            <w:r>
              <w:rPr>
                <w:sz w:val="16"/>
                <w:szCs w:val="16"/>
                <w:lang w:val="it"/>
              </w:rPr>
              <w:t>Ombudsman delle banche pubbliche tedesche</w:t>
            </w:r>
          </w:p>
        </w:tc>
        <w:tc>
          <w:tcPr>
            <w:tcW w:w="2126" w:type="dxa"/>
            <w:shd w:val="clear" w:color="auto" w:fill="auto"/>
          </w:tcPr>
          <w:p w14:paraId="5D659BF9" w14:textId="2377C6FE" w:rsidR="00780B1D" w:rsidRPr="00F578EE" w:rsidRDefault="00780B1D" w:rsidP="005368DB">
            <w:pPr>
              <w:rPr>
                <w:sz w:val="16"/>
                <w:szCs w:val="16"/>
              </w:rPr>
            </w:pPr>
            <w:r>
              <w:rPr>
                <w:sz w:val="16"/>
                <w:szCs w:val="16"/>
                <w:lang w:val="it"/>
              </w:rPr>
              <w:t>Alcune banche</w:t>
            </w:r>
          </w:p>
        </w:tc>
        <w:tc>
          <w:tcPr>
            <w:tcW w:w="1843" w:type="dxa"/>
            <w:shd w:val="clear" w:color="auto" w:fill="auto"/>
          </w:tcPr>
          <w:p w14:paraId="6FA89D67" w14:textId="13282459" w:rsidR="00780B1D" w:rsidRPr="00F578EE" w:rsidRDefault="00780B1D" w:rsidP="005368DB">
            <w:pPr>
              <w:rPr>
                <w:sz w:val="16"/>
                <w:szCs w:val="16"/>
              </w:rPr>
            </w:pPr>
            <w:r>
              <w:rPr>
                <w:sz w:val="16"/>
                <w:szCs w:val="16"/>
                <w:lang w:val="it"/>
              </w:rPr>
              <w:t>ombudsmann@voeb-kbs.de</w:t>
            </w:r>
          </w:p>
        </w:tc>
        <w:tc>
          <w:tcPr>
            <w:tcW w:w="1559" w:type="dxa"/>
            <w:shd w:val="clear" w:color="auto" w:fill="auto"/>
          </w:tcPr>
          <w:p w14:paraId="32AB6D9B" w14:textId="2775E11C" w:rsidR="00780B1D" w:rsidRPr="00F578EE" w:rsidRDefault="00780B1D" w:rsidP="005368DB">
            <w:pPr>
              <w:rPr>
                <w:sz w:val="16"/>
                <w:szCs w:val="16"/>
              </w:rPr>
            </w:pPr>
            <w:r>
              <w:rPr>
                <w:sz w:val="16"/>
                <w:szCs w:val="16"/>
                <w:lang w:val="it"/>
              </w:rPr>
              <w:t>http://www.voeb.de/de/ueber_uns/ombudsmann/</w:t>
            </w:r>
          </w:p>
        </w:tc>
        <w:tc>
          <w:tcPr>
            <w:tcW w:w="1134" w:type="dxa"/>
            <w:shd w:val="clear" w:color="auto" w:fill="auto"/>
          </w:tcPr>
          <w:p w14:paraId="57FA2311" w14:textId="77777777" w:rsidR="00780B1D" w:rsidRDefault="00780B1D" w:rsidP="005368DB">
            <w:pPr>
              <w:rPr>
                <w:sz w:val="16"/>
                <w:szCs w:val="16"/>
              </w:rPr>
            </w:pPr>
            <w:r>
              <w:rPr>
                <w:sz w:val="16"/>
                <w:szCs w:val="16"/>
                <w:lang w:val="it"/>
              </w:rPr>
              <w:t>Tedesco, inglese, francese</w:t>
            </w:r>
          </w:p>
          <w:p w14:paraId="7598B071" w14:textId="2B222535" w:rsidR="001558D0" w:rsidRPr="00F578EE" w:rsidRDefault="001558D0" w:rsidP="005368DB">
            <w:pPr>
              <w:rPr>
                <w:sz w:val="16"/>
                <w:szCs w:val="16"/>
              </w:rPr>
            </w:pPr>
          </w:p>
        </w:tc>
      </w:tr>
      <w:tr w:rsidR="00780B1D" w:rsidRPr="00F578EE" w14:paraId="717D8D5F" w14:textId="77777777" w:rsidTr="005368DB">
        <w:trPr>
          <w:trHeight w:val="570"/>
        </w:trPr>
        <w:tc>
          <w:tcPr>
            <w:tcW w:w="851" w:type="dxa"/>
            <w:vMerge/>
            <w:shd w:val="clear" w:color="auto" w:fill="auto"/>
          </w:tcPr>
          <w:p w14:paraId="5ABC5CAB" w14:textId="77777777" w:rsidR="00780B1D" w:rsidRPr="00F578EE" w:rsidRDefault="00780B1D" w:rsidP="005368DB">
            <w:pPr>
              <w:rPr>
                <w:sz w:val="16"/>
                <w:szCs w:val="16"/>
              </w:rPr>
            </w:pPr>
          </w:p>
        </w:tc>
        <w:tc>
          <w:tcPr>
            <w:tcW w:w="2126" w:type="dxa"/>
          </w:tcPr>
          <w:p w14:paraId="1D19F27C" w14:textId="26135509" w:rsidR="00780B1D" w:rsidRPr="00F578EE" w:rsidRDefault="00780B1D" w:rsidP="005368DB">
            <w:pPr>
              <w:rPr>
                <w:sz w:val="16"/>
                <w:szCs w:val="16"/>
              </w:rPr>
            </w:pPr>
            <w:r>
              <w:rPr>
                <w:sz w:val="16"/>
                <w:szCs w:val="16"/>
                <w:lang w:val="it"/>
              </w:rPr>
              <w:t>Sistema dell’ombudsman delle banche commerciali private</w:t>
            </w:r>
          </w:p>
        </w:tc>
        <w:tc>
          <w:tcPr>
            <w:tcW w:w="2126" w:type="dxa"/>
            <w:shd w:val="clear" w:color="auto" w:fill="auto"/>
          </w:tcPr>
          <w:p w14:paraId="073BE643" w14:textId="6A10586B" w:rsidR="00780B1D" w:rsidRPr="00A11B81" w:rsidRDefault="00780B1D" w:rsidP="005368DB">
            <w:pPr>
              <w:rPr>
                <w:sz w:val="16"/>
                <w:szCs w:val="16"/>
                <w:lang w:val="fr-FR"/>
              </w:rPr>
            </w:pPr>
            <w:r>
              <w:rPr>
                <w:sz w:val="16"/>
                <w:szCs w:val="16"/>
                <w:lang w:val="it"/>
              </w:rPr>
              <w:t>La maggior parte delle banche e degli istituti di credito ipotecario</w:t>
            </w:r>
          </w:p>
        </w:tc>
        <w:tc>
          <w:tcPr>
            <w:tcW w:w="1843" w:type="dxa"/>
            <w:shd w:val="clear" w:color="auto" w:fill="auto"/>
          </w:tcPr>
          <w:p w14:paraId="56466095" w14:textId="7DBDD0B1" w:rsidR="00780B1D" w:rsidRPr="00F578EE" w:rsidRDefault="00780B1D" w:rsidP="005368DB">
            <w:pPr>
              <w:rPr>
                <w:sz w:val="16"/>
                <w:szCs w:val="16"/>
              </w:rPr>
            </w:pPr>
            <w:r>
              <w:rPr>
                <w:sz w:val="16"/>
                <w:szCs w:val="16"/>
                <w:lang w:val="it"/>
              </w:rPr>
              <w:t>ombudsmann@bdb.de</w:t>
            </w:r>
          </w:p>
        </w:tc>
        <w:tc>
          <w:tcPr>
            <w:tcW w:w="1559" w:type="dxa"/>
            <w:shd w:val="clear" w:color="auto" w:fill="auto"/>
          </w:tcPr>
          <w:p w14:paraId="64F42A37" w14:textId="39BC2C13" w:rsidR="00780B1D" w:rsidRPr="00F578EE" w:rsidRDefault="00780B1D" w:rsidP="005368DB">
            <w:pPr>
              <w:rPr>
                <w:sz w:val="16"/>
                <w:szCs w:val="16"/>
              </w:rPr>
            </w:pPr>
            <w:r>
              <w:rPr>
                <w:sz w:val="16"/>
                <w:szCs w:val="16"/>
                <w:lang w:val="it"/>
              </w:rPr>
              <w:t>http://www.bankenombudsmann.de/ombudsmann/</w:t>
            </w:r>
          </w:p>
        </w:tc>
        <w:tc>
          <w:tcPr>
            <w:tcW w:w="1134" w:type="dxa"/>
            <w:shd w:val="clear" w:color="auto" w:fill="auto"/>
          </w:tcPr>
          <w:p w14:paraId="06046403" w14:textId="0CB251A9" w:rsidR="001558D0" w:rsidRPr="00F578EE" w:rsidRDefault="00780B1D" w:rsidP="007A4E0C">
            <w:pPr>
              <w:rPr>
                <w:sz w:val="16"/>
                <w:szCs w:val="16"/>
              </w:rPr>
            </w:pPr>
            <w:r>
              <w:rPr>
                <w:sz w:val="16"/>
                <w:szCs w:val="16"/>
                <w:lang w:val="it"/>
              </w:rPr>
              <w:t>Tedesco o qualsiasi altra lingua concordata dal cliente e dalla banca</w:t>
            </w:r>
          </w:p>
        </w:tc>
      </w:tr>
      <w:tr w:rsidR="00780B1D" w:rsidRPr="00F578EE" w14:paraId="791CDC33" w14:textId="77777777" w:rsidTr="005368DB">
        <w:trPr>
          <w:trHeight w:val="570"/>
        </w:trPr>
        <w:tc>
          <w:tcPr>
            <w:tcW w:w="851" w:type="dxa"/>
            <w:vMerge/>
            <w:shd w:val="clear" w:color="auto" w:fill="auto"/>
          </w:tcPr>
          <w:p w14:paraId="655D8D59" w14:textId="77777777" w:rsidR="00780B1D" w:rsidRPr="00F578EE" w:rsidRDefault="00780B1D" w:rsidP="005368DB">
            <w:pPr>
              <w:rPr>
                <w:sz w:val="16"/>
                <w:szCs w:val="16"/>
              </w:rPr>
            </w:pPr>
          </w:p>
        </w:tc>
        <w:tc>
          <w:tcPr>
            <w:tcW w:w="2126" w:type="dxa"/>
          </w:tcPr>
          <w:p w14:paraId="2D8F7E4E" w14:textId="4EB20379" w:rsidR="00780B1D" w:rsidRPr="00F578EE" w:rsidRDefault="00780B1D" w:rsidP="005368DB">
            <w:pPr>
              <w:rPr>
                <w:sz w:val="16"/>
                <w:szCs w:val="16"/>
              </w:rPr>
            </w:pPr>
            <w:r>
              <w:rPr>
                <w:sz w:val="16"/>
                <w:szCs w:val="16"/>
                <w:lang w:val="it"/>
              </w:rPr>
              <w:t>Ombudsman per l’assicurazione sulla sanità privata e l’assistenza a lungo termine</w:t>
            </w:r>
          </w:p>
        </w:tc>
        <w:tc>
          <w:tcPr>
            <w:tcW w:w="2126" w:type="dxa"/>
            <w:shd w:val="clear" w:color="auto" w:fill="auto"/>
          </w:tcPr>
          <w:p w14:paraId="51047635" w14:textId="762C58D8" w:rsidR="00780B1D" w:rsidRPr="00F578EE" w:rsidRDefault="00780B1D" w:rsidP="005368DB">
            <w:pPr>
              <w:rPr>
                <w:sz w:val="16"/>
                <w:szCs w:val="16"/>
              </w:rPr>
            </w:pPr>
            <w:r>
              <w:rPr>
                <w:sz w:val="16"/>
                <w:szCs w:val="16"/>
                <w:lang w:val="it"/>
              </w:rPr>
              <w:t>Alcune compagnie di assicurazione</w:t>
            </w:r>
          </w:p>
        </w:tc>
        <w:tc>
          <w:tcPr>
            <w:tcW w:w="1843" w:type="dxa"/>
            <w:shd w:val="clear" w:color="auto" w:fill="auto"/>
          </w:tcPr>
          <w:p w14:paraId="7BA09565" w14:textId="7A339A17" w:rsidR="00780B1D" w:rsidRPr="00A11B81" w:rsidRDefault="00780B1D" w:rsidP="005368DB">
            <w:pPr>
              <w:rPr>
                <w:sz w:val="16"/>
                <w:szCs w:val="16"/>
                <w:lang w:val="fr-FR"/>
              </w:rPr>
            </w:pPr>
            <w:r>
              <w:rPr>
                <w:sz w:val="16"/>
                <w:szCs w:val="16"/>
                <w:lang w:val="it"/>
              </w:rPr>
              <w:t>I reclami possono essere trasmessi via internet compilando un apposito modulo.</w:t>
            </w:r>
          </w:p>
        </w:tc>
        <w:tc>
          <w:tcPr>
            <w:tcW w:w="1559" w:type="dxa"/>
            <w:shd w:val="clear" w:color="auto" w:fill="auto"/>
          </w:tcPr>
          <w:p w14:paraId="5A902CBD" w14:textId="545D20C6" w:rsidR="00780B1D" w:rsidRPr="00A11B81" w:rsidRDefault="00780B1D" w:rsidP="005368DB">
            <w:pPr>
              <w:rPr>
                <w:sz w:val="16"/>
                <w:szCs w:val="16"/>
                <w:lang w:val="fr-FR"/>
              </w:rPr>
            </w:pPr>
            <w:r>
              <w:rPr>
                <w:sz w:val="16"/>
                <w:szCs w:val="16"/>
                <w:lang w:val="it"/>
              </w:rPr>
              <w:t>http://www.pkv-ombudsmann.de/</w:t>
            </w:r>
          </w:p>
        </w:tc>
        <w:tc>
          <w:tcPr>
            <w:tcW w:w="1134" w:type="dxa"/>
            <w:shd w:val="clear" w:color="auto" w:fill="auto"/>
          </w:tcPr>
          <w:p w14:paraId="681141F9" w14:textId="5CF85402" w:rsidR="00780B1D" w:rsidRPr="00F578EE" w:rsidRDefault="00780B1D" w:rsidP="005368DB">
            <w:pPr>
              <w:rPr>
                <w:sz w:val="16"/>
                <w:szCs w:val="16"/>
              </w:rPr>
            </w:pPr>
            <w:r>
              <w:rPr>
                <w:sz w:val="16"/>
                <w:szCs w:val="16"/>
                <w:lang w:val="it"/>
              </w:rPr>
              <w:t>Tedesco</w:t>
            </w:r>
          </w:p>
        </w:tc>
      </w:tr>
      <w:tr w:rsidR="00780B1D" w:rsidRPr="00F578EE" w14:paraId="3FF5E5A0" w14:textId="77777777" w:rsidTr="005368DB">
        <w:trPr>
          <w:trHeight w:val="570"/>
        </w:trPr>
        <w:tc>
          <w:tcPr>
            <w:tcW w:w="851" w:type="dxa"/>
            <w:vMerge/>
            <w:shd w:val="clear" w:color="auto" w:fill="auto"/>
          </w:tcPr>
          <w:p w14:paraId="0C1A1B52" w14:textId="77777777" w:rsidR="00780B1D" w:rsidRPr="00F578EE" w:rsidRDefault="00780B1D" w:rsidP="005368DB">
            <w:pPr>
              <w:rPr>
                <w:sz w:val="16"/>
                <w:szCs w:val="16"/>
              </w:rPr>
            </w:pPr>
          </w:p>
        </w:tc>
        <w:tc>
          <w:tcPr>
            <w:tcW w:w="2126" w:type="dxa"/>
          </w:tcPr>
          <w:p w14:paraId="4BCE26B0" w14:textId="1E3C248E" w:rsidR="00780B1D" w:rsidRPr="00F578EE" w:rsidRDefault="00780B1D" w:rsidP="005368DB">
            <w:pPr>
              <w:rPr>
                <w:sz w:val="16"/>
                <w:szCs w:val="16"/>
              </w:rPr>
            </w:pPr>
            <w:r>
              <w:rPr>
                <w:sz w:val="16"/>
                <w:szCs w:val="16"/>
                <w:lang w:val="it"/>
              </w:rPr>
              <w:t>Sistema dell’ombudsman per i fondi di investimento</w:t>
            </w:r>
          </w:p>
        </w:tc>
        <w:tc>
          <w:tcPr>
            <w:tcW w:w="2126" w:type="dxa"/>
            <w:shd w:val="clear" w:color="auto" w:fill="auto"/>
          </w:tcPr>
          <w:p w14:paraId="6096D089" w14:textId="0FD132E6" w:rsidR="00780B1D" w:rsidRPr="00A11B81" w:rsidRDefault="00780B1D" w:rsidP="005368DB">
            <w:pPr>
              <w:rPr>
                <w:sz w:val="16"/>
                <w:szCs w:val="16"/>
                <w:lang w:val="fr-FR"/>
              </w:rPr>
            </w:pPr>
            <w:r>
              <w:rPr>
                <w:sz w:val="16"/>
                <w:szCs w:val="16"/>
                <w:lang w:val="it"/>
              </w:rPr>
              <w:t>Alcune banche di investimento, alcune banche e alcuni depositari</w:t>
            </w:r>
          </w:p>
        </w:tc>
        <w:tc>
          <w:tcPr>
            <w:tcW w:w="1843" w:type="dxa"/>
            <w:shd w:val="clear" w:color="auto" w:fill="auto"/>
          </w:tcPr>
          <w:p w14:paraId="4972B608" w14:textId="1F908CA3" w:rsidR="00780B1D" w:rsidRPr="00F578EE" w:rsidRDefault="00780B1D" w:rsidP="005368DB">
            <w:pPr>
              <w:rPr>
                <w:sz w:val="16"/>
                <w:szCs w:val="16"/>
              </w:rPr>
            </w:pPr>
            <w:r>
              <w:rPr>
                <w:sz w:val="16"/>
                <w:szCs w:val="16"/>
                <w:lang w:val="it"/>
              </w:rPr>
              <w:t>info@ombudsstelle-investmentfonds.de</w:t>
            </w:r>
          </w:p>
        </w:tc>
        <w:tc>
          <w:tcPr>
            <w:tcW w:w="1559" w:type="dxa"/>
            <w:shd w:val="clear" w:color="auto" w:fill="auto"/>
          </w:tcPr>
          <w:p w14:paraId="118C01B8" w14:textId="671102D4" w:rsidR="00780B1D" w:rsidRDefault="00000000" w:rsidP="005368DB">
            <w:pPr>
              <w:rPr>
                <w:sz w:val="16"/>
                <w:szCs w:val="16"/>
              </w:rPr>
            </w:pPr>
            <w:hyperlink r:id="rId12" w:history="1">
              <w:r w:rsidR="001558D0">
                <w:rPr>
                  <w:sz w:val="16"/>
                  <w:szCs w:val="16"/>
                  <w:lang w:val="it"/>
                </w:rPr>
                <w:t>http://www.ombudsstelle-investmentfonds.de/</w:t>
              </w:r>
            </w:hyperlink>
          </w:p>
          <w:p w14:paraId="50BE347C" w14:textId="5BCAE3A4" w:rsidR="001558D0" w:rsidRPr="00F578EE" w:rsidRDefault="001558D0" w:rsidP="005368DB">
            <w:pPr>
              <w:rPr>
                <w:sz w:val="16"/>
                <w:szCs w:val="16"/>
              </w:rPr>
            </w:pPr>
          </w:p>
        </w:tc>
        <w:tc>
          <w:tcPr>
            <w:tcW w:w="1134" w:type="dxa"/>
            <w:shd w:val="clear" w:color="auto" w:fill="auto"/>
          </w:tcPr>
          <w:p w14:paraId="2BF0623F" w14:textId="2E08E732" w:rsidR="00780B1D" w:rsidRPr="00F578EE" w:rsidRDefault="00780B1D" w:rsidP="005368DB">
            <w:pPr>
              <w:rPr>
                <w:sz w:val="16"/>
                <w:szCs w:val="16"/>
              </w:rPr>
            </w:pPr>
            <w:r>
              <w:rPr>
                <w:sz w:val="16"/>
                <w:szCs w:val="16"/>
                <w:lang w:val="it"/>
              </w:rPr>
              <w:t>Tedesco e inglese</w:t>
            </w:r>
          </w:p>
        </w:tc>
      </w:tr>
      <w:tr w:rsidR="00780B1D" w:rsidRPr="00F578EE" w14:paraId="39B65764" w14:textId="77777777" w:rsidTr="005368DB">
        <w:trPr>
          <w:trHeight w:val="570"/>
        </w:trPr>
        <w:tc>
          <w:tcPr>
            <w:tcW w:w="851" w:type="dxa"/>
            <w:vMerge/>
            <w:shd w:val="clear" w:color="auto" w:fill="auto"/>
          </w:tcPr>
          <w:p w14:paraId="5D6D712E" w14:textId="77777777" w:rsidR="00780B1D" w:rsidRPr="00F578EE" w:rsidRDefault="00780B1D" w:rsidP="005368DB">
            <w:pPr>
              <w:rPr>
                <w:sz w:val="16"/>
                <w:szCs w:val="16"/>
              </w:rPr>
            </w:pPr>
          </w:p>
        </w:tc>
        <w:tc>
          <w:tcPr>
            <w:tcW w:w="2126" w:type="dxa"/>
          </w:tcPr>
          <w:p w14:paraId="5C6B27B9" w14:textId="04532F23" w:rsidR="00780B1D" w:rsidRPr="00A11B81" w:rsidRDefault="00780B1D" w:rsidP="005368DB">
            <w:pPr>
              <w:rPr>
                <w:sz w:val="16"/>
                <w:szCs w:val="16"/>
                <w:lang w:val="de-DE"/>
              </w:rPr>
            </w:pPr>
            <w:r>
              <w:rPr>
                <w:sz w:val="16"/>
                <w:szCs w:val="16"/>
                <w:lang w:val="it"/>
              </w:rPr>
              <w:t>Collegio arbitrale della Deutsche Bundesbank</w:t>
            </w:r>
          </w:p>
        </w:tc>
        <w:tc>
          <w:tcPr>
            <w:tcW w:w="2126" w:type="dxa"/>
            <w:shd w:val="clear" w:color="auto" w:fill="auto"/>
          </w:tcPr>
          <w:p w14:paraId="4A9BE6E6" w14:textId="19E58418" w:rsidR="005368DB" w:rsidRPr="00A11B81" w:rsidRDefault="00780B1D" w:rsidP="007A4E0C">
            <w:pPr>
              <w:rPr>
                <w:sz w:val="16"/>
                <w:szCs w:val="16"/>
                <w:lang w:val="de-DE"/>
              </w:rPr>
            </w:pPr>
            <w:r>
              <w:rPr>
                <w:sz w:val="16"/>
                <w:szCs w:val="16"/>
                <w:lang w:val="it"/>
              </w:rPr>
              <w:t>Intermediari di mutui ipotecari, banche di investimento, intermediari di investimento, intermediari mobiliari, alcune banche, alcune banche di mutui ipotecari, alcune cooperative di credito</w:t>
            </w:r>
          </w:p>
        </w:tc>
        <w:tc>
          <w:tcPr>
            <w:tcW w:w="1843" w:type="dxa"/>
            <w:shd w:val="clear" w:color="auto" w:fill="auto"/>
          </w:tcPr>
          <w:p w14:paraId="490671AC" w14:textId="50B8CCD0" w:rsidR="00780B1D" w:rsidRPr="00F578EE" w:rsidRDefault="00780B1D" w:rsidP="005368DB">
            <w:pPr>
              <w:rPr>
                <w:sz w:val="16"/>
                <w:szCs w:val="16"/>
              </w:rPr>
            </w:pPr>
            <w:r>
              <w:rPr>
                <w:sz w:val="16"/>
                <w:szCs w:val="16"/>
                <w:lang w:val="it"/>
              </w:rPr>
              <w:t>schlichtung@bundesbank.de</w:t>
            </w:r>
          </w:p>
        </w:tc>
        <w:tc>
          <w:tcPr>
            <w:tcW w:w="1559" w:type="dxa"/>
            <w:shd w:val="clear" w:color="auto" w:fill="auto"/>
          </w:tcPr>
          <w:p w14:paraId="1743B75E" w14:textId="11DB461B" w:rsidR="00780B1D" w:rsidRPr="00F578EE" w:rsidRDefault="00780B1D" w:rsidP="005368DB">
            <w:pPr>
              <w:rPr>
                <w:sz w:val="16"/>
                <w:szCs w:val="16"/>
              </w:rPr>
            </w:pPr>
            <w:r>
              <w:rPr>
                <w:sz w:val="16"/>
                <w:szCs w:val="16"/>
                <w:lang w:val="it"/>
              </w:rPr>
              <w:t>http://www.bundesbank.de/schlichtungsstelle/schlichtungsstelle.php</w:t>
            </w:r>
          </w:p>
        </w:tc>
        <w:tc>
          <w:tcPr>
            <w:tcW w:w="1134" w:type="dxa"/>
            <w:shd w:val="clear" w:color="auto" w:fill="auto"/>
          </w:tcPr>
          <w:p w14:paraId="1BDE497F" w14:textId="3D64BBDE" w:rsidR="00780B1D" w:rsidRPr="00F578EE" w:rsidRDefault="00780B1D" w:rsidP="005368DB">
            <w:pPr>
              <w:rPr>
                <w:sz w:val="16"/>
                <w:szCs w:val="16"/>
              </w:rPr>
            </w:pPr>
            <w:r>
              <w:rPr>
                <w:sz w:val="16"/>
                <w:szCs w:val="16"/>
                <w:lang w:val="it"/>
              </w:rPr>
              <w:t>Tedesco</w:t>
            </w:r>
          </w:p>
        </w:tc>
      </w:tr>
      <w:tr w:rsidR="00780B1D" w:rsidRPr="00F578EE" w14:paraId="162C5A60" w14:textId="77777777" w:rsidTr="007A4E0C">
        <w:trPr>
          <w:trHeight w:val="1567"/>
        </w:trPr>
        <w:tc>
          <w:tcPr>
            <w:tcW w:w="851" w:type="dxa"/>
            <w:vMerge/>
            <w:shd w:val="clear" w:color="auto" w:fill="auto"/>
          </w:tcPr>
          <w:p w14:paraId="7CD0FCB3" w14:textId="77777777" w:rsidR="00780B1D" w:rsidRPr="00F578EE" w:rsidRDefault="00780B1D" w:rsidP="005368DB">
            <w:pPr>
              <w:rPr>
                <w:sz w:val="16"/>
                <w:szCs w:val="16"/>
              </w:rPr>
            </w:pPr>
          </w:p>
        </w:tc>
        <w:tc>
          <w:tcPr>
            <w:tcW w:w="2126" w:type="dxa"/>
          </w:tcPr>
          <w:p w14:paraId="436265D8" w14:textId="0643F323" w:rsidR="00780B1D" w:rsidRPr="00F578EE" w:rsidRDefault="00780B1D" w:rsidP="005368DB">
            <w:pPr>
              <w:rPr>
                <w:sz w:val="16"/>
                <w:szCs w:val="16"/>
              </w:rPr>
            </w:pPr>
            <w:r>
              <w:rPr>
                <w:sz w:val="16"/>
                <w:szCs w:val="16"/>
                <w:lang w:val="it"/>
              </w:rPr>
              <w:t>Collegio arbitrale della BaFin</w:t>
            </w:r>
          </w:p>
        </w:tc>
        <w:tc>
          <w:tcPr>
            <w:tcW w:w="2126" w:type="dxa"/>
            <w:shd w:val="clear" w:color="auto" w:fill="auto"/>
          </w:tcPr>
          <w:p w14:paraId="787B5A48" w14:textId="3AC4243F" w:rsidR="00780B1D" w:rsidRPr="00A11B81" w:rsidRDefault="00780B1D" w:rsidP="005368DB">
            <w:pPr>
              <w:rPr>
                <w:sz w:val="16"/>
                <w:szCs w:val="16"/>
                <w:lang w:val="fr-FR"/>
              </w:rPr>
            </w:pPr>
            <w:r>
              <w:rPr>
                <w:sz w:val="16"/>
                <w:szCs w:val="16"/>
                <w:lang w:val="it"/>
              </w:rPr>
              <w:t xml:space="preserve">Tutte le istituzioni sottoposte alla vigilanza della </w:t>
            </w:r>
            <w:proofErr w:type="spellStart"/>
            <w:r>
              <w:rPr>
                <w:sz w:val="16"/>
                <w:szCs w:val="16"/>
                <w:lang w:val="it"/>
              </w:rPr>
              <w:t>BaFin</w:t>
            </w:r>
            <w:proofErr w:type="spellEnd"/>
          </w:p>
        </w:tc>
        <w:tc>
          <w:tcPr>
            <w:tcW w:w="1843" w:type="dxa"/>
            <w:shd w:val="clear" w:color="auto" w:fill="auto"/>
          </w:tcPr>
          <w:p w14:paraId="49E1745C" w14:textId="644DCE35" w:rsidR="00780B1D" w:rsidRPr="00F578EE" w:rsidRDefault="00780B1D" w:rsidP="005368DB">
            <w:pPr>
              <w:rPr>
                <w:sz w:val="16"/>
                <w:szCs w:val="16"/>
              </w:rPr>
            </w:pPr>
            <w:r>
              <w:rPr>
                <w:sz w:val="16"/>
                <w:szCs w:val="16"/>
                <w:lang w:val="it"/>
              </w:rPr>
              <w:t>schlichtungsstelle@bafin.de</w:t>
            </w:r>
          </w:p>
        </w:tc>
        <w:tc>
          <w:tcPr>
            <w:tcW w:w="1559" w:type="dxa"/>
            <w:shd w:val="clear" w:color="auto" w:fill="auto"/>
          </w:tcPr>
          <w:p w14:paraId="6939CC21" w14:textId="58C496BB" w:rsidR="00780B1D" w:rsidRPr="00F578EE" w:rsidRDefault="00780B1D" w:rsidP="005368DB">
            <w:pPr>
              <w:rPr>
                <w:sz w:val="16"/>
                <w:szCs w:val="16"/>
              </w:rPr>
            </w:pPr>
            <w:r>
              <w:rPr>
                <w:sz w:val="16"/>
                <w:szCs w:val="16"/>
                <w:lang w:val="it"/>
              </w:rPr>
              <w:t>https://www.bafin.de/EN/Verbraucher/BeschwerdenAnsprechpartner/Ansprechpartner/Schlichtungsstelle/schlichtungsstelle_artikel_en.html</w:t>
            </w:r>
          </w:p>
        </w:tc>
        <w:tc>
          <w:tcPr>
            <w:tcW w:w="1134" w:type="dxa"/>
            <w:shd w:val="clear" w:color="auto" w:fill="auto"/>
          </w:tcPr>
          <w:p w14:paraId="6958FE9A" w14:textId="4A162804" w:rsidR="00780B1D" w:rsidRPr="00F578EE" w:rsidRDefault="00780B1D" w:rsidP="005368DB">
            <w:pPr>
              <w:rPr>
                <w:sz w:val="16"/>
                <w:szCs w:val="16"/>
              </w:rPr>
            </w:pPr>
            <w:r>
              <w:rPr>
                <w:sz w:val="16"/>
                <w:szCs w:val="16"/>
                <w:lang w:val="it"/>
              </w:rPr>
              <w:t>Tedesco</w:t>
            </w:r>
          </w:p>
        </w:tc>
      </w:tr>
      <w:tr w:rsidR="00780B1D" w:rsidRPr="00A11B81" w14:paraId="6105DD07" w14:textId="77777777" w:rsidTr="005368DB">
        <w:trPr>
          <w:trHeight w:val="570"/>
        </w:trPr>
        <w:tc>
          <w:tcPr>
            <w:tcW w:w="851" w:type="dxa"/>
            <w:vMerge/>
            <w:shd w:val="clear" w:color="auto" w:fill="auto"/>
          </w:tcPr>
          <w:p w14:paraId="00A13774" w14:textId="77777777" w:rsidR="00780B1D" w:rsidRPr="00F578EE" w:rsidRDefault="00780B1D" w:rsidP="005368DB">
            <w:pPr>
              <w:rPr>
                <w:sz w:val="16"/>
                <w:szCs w:val="16"/>
              </w:rPr>
            </w:pPr>
          </w:p>
        </w:tc>
        <w:tc>
          <w:tcPr>
            <w:tcW w:w="2126" w:type="dxa"/>
          </w:tcPr>
          <w:p w14:paraId="15BCEF00" w14:textId="77D339A3" w:rsidR="00780B1D" w:rsidRPr="00F578EE" w:rsidRDefault="00780B1D" w:rsidP="005368DB">
            <w:pPr>
              <w:rPr>
                <w:sz w:val="16"/>
                <w:szCs w:val="16"/>
              </w:rPr>
            </w:pPr>
            <w:r>
              <w:rPr>
                <w:sz w:val="16"/>
                <w:szCs w:val="16"/>
                <w:lang w:val="it"/>
              </w:rPr>
              <w:t>Ombudsman delle assicurazioni</w:t>
            </w:r>
          </w:p>
        </w:tc>
        <w:tc>
          <w:tcPr>
            <w:tcW w:w="2126" w:type="dxa"/>
            <w:shd w:val="clear" w:color="auto" w:fill="auto"/>
          </w:tcPr>
          <w:p w14:paraId="43D8FB0A" w14:textId="22E077CC" w:rsidR="00780B1D" w:rsidRPr="00A11B81" w:rsidRDefault="00780B1D" w:rsidP="005368DB">
            <w:pPr>
              <w:rPr>
                <w:sz w:val="16"/>
                <w:szCs w:val="16"/>
                <w:lang w:val="fr-FR"/>
              </w:rPr>
            </w:pPr>
            <w:r>
              <w:rPr>
                <w:sz w:val="16"/>
                <w:szCs w:val="16"/>
                <w:lang w:val="it"/>
              </w:rPr>
              <w:t>Compagnie di assicurazione, intermediari assicurativi</w:t>
            </w:r>
          </w:p>
        </w:tc>
        <w:tc>
          <w:tcPr>
            <w:tcW w:w="1843" w:type="dxa"/>
            <w:shd w:val="clear" w:color="auto" w:fill="auto"/>
          </w:tcPr>
          <w:p w14:paraId="493229E2" w14:textId="6AB2635B" w:rsidR="00780B1D" w:rsidRPr="00F578EE" w:rsidRDefault="00780B1D" w:rsidP="005368DB">
            <w:pPr>
              <w:rPr>
                <w:sz w:val="16"/>
                <w:szCs w:val="16"/>
              </w:rPr>
            </w:pPr>
            <w:r>
              <w:rPr>
                <w:sz w:val="16"/>
                <w:szCs w:val="16"/>
                <w:lang w:val="it"/>
              </w:rPr>
              <w:t>beschwerde@versicherungsombudsmann.de</w:t>
            </w:r>
          </w:p>
        </w:tc>
        <w:tc>
          <w:tcPr>
            <w:tcW w:w="1559" w:type="dxa"/>
            <w:shd w:val="clear" w:color="auto" w:fill="auto"/>
          </w:tcPr>
          <w:p w14:paraId="247D90A8" w14:textId="12C59133" w:rsidR="00780B1D" w:rsidRPr="00F578EE" w:rsidRDefault="00780B1D" w:rsidP="005368DB">
            <w:pPr>
              <w:rPr>
                <w:sz w:val="16"/>
                <w:szCs w:val="16"/>
              </w:rPr>
            </w:pPr>
            <w:r>
              <w:rPr>
                <w:sz w:val="16"/>
                <w:szCs w:val="16"/>
                <w:lang w:val="it"/>
              </w:rPr>
              <w:t>http://www.versicherungsombudsmann.de/</w:t>
            </w:r>
          </w:p>
        </w:tc>
        <w:tc>
          <w:tcPr>
            <w:tcW w:w="1134" w:type="dxa"/>
            <w:shd w:val="clear" w:color="auto" w:fill="auto"/>
          </w:tcPr>
          <w:p w14:paraId="00233070" w14:textId="15095BB2" w:rsidR="001558D0" w:rsidRPr="00A11B81" w:rsidRDefault="00780B1D" w:rsidP="007A4E0C">
            <w:pPr>
              <w:rPr>
                <w:sz w:val="16"/>
                <w:szCs w:val="16"/>
                <w:lang w:val="de-DE"/>
              </w:rPr>
            </w:pPr>
            <w:r>
              <w:rPr>
                <w:sz w:val="16"/>
                <w:szCs w:val="16"/>
                <w:lang w:val="it"/>
              </w:rPr>
              <w:t>Tedesco e, se richiesto, anche inglese e francese</w:t>
            </w:r>
          </w:p>
        </w:tc>
      </w:tr>
    </w:tbl>
    <w:p w14:paraId="3E047741" w14:textId="4BD66179" w:rsidR="007A4E0C" w:rsidRPr="00A11B81" w:rsidRDefault="007A4E0C">
      <w:pPr>
        <w:rPr>
          <w:lang w:val="de-DE"/>
        </w:rPr>
      </w:pPr>
    </w:p>
    <w:tbl>
      <w:tblPr>
        <w:tblStyle w:val="TableGrid"/>
        <w:tblW w:w="9639" w:type="dxa"/>
        <w:tblInd w:w="-5" w:type="dxa"/>
        <w:tblLayout w:type="fixed"/>
        <w:tblLook w:val="04A0" w:firstRow="1" w:lastRow="0" w:firstColumn="1" w:lastColumn="0" w:noHBand="0" w:noVBand="1"/>
      </w:tblPr>
      <w:tblGrid>
        <w:gridCol w:w="851"/>
        <w:gridCol w:w="2126"/>
        <w:gridCol w:w="2126"/>
        <w:gridCol w:w="1843"/>
        <w:gridCol w:w="1559"/>
        <w:gridCol w:w="1134"/>
      </w:tblGrid>
      <w:tr w:rsidR="007A4E0C" w:rsidRPr="007A4E0C" w14:paraId="3DBCB2ED" w14:textId="77777777" w:rsidTr="42B411E3">
        <w:trPr>
          <w:trHeight w:val="262"/>
        </w:trPr>
        <w:tc>
          <w:tcPr>
            <w:tcW w:w="851" w:type="dxa"/>
            <w:hideMark/>
          </w:tcPr>
          <w:p w14:paraId="71BFB71D" w14:textId="77777777" w:rsidR="007A4E0C" w:rsidRPr="007A4E0C" w:rsidRDefault="007A4E0C">
            <w:pPr>
              <w:jc w:val="center"/>
              <w:rPr>
                <w:b/>
                <w:bCs/>
                <w:color w:val="C00000"/>
                <w:sz w:val="16"/>
                <w:szCs w:val="16"/>
              </w:rPr>
            </w:pPr>
            <w:r>
              <w:rPr>
                <w:b/>
                <w:bCs/>
                <w:color w:val="C00000"/>
                <w:sz w:val="16"/>
                <w:szCs w:val="16"/>
                <w:lang w:val="it"/>
              </w:rPr>
              <w:t>Paese</w:t>
            </w:r>
          </w:p>
        </w:tc>
        <w:tc>
          <w:tcPr>
            <w:tcW w:w="2126" w:type="dxa"/>
          </w:tcPr>
          <w:p w14:paraId="62E0D05D" w14:textId="77777777" w:rsidR="007A4E0C" w:rsidRPr="007A4E0C" w:rsidRDefault="007A4E0C">
            <w:pPr>
              <w:jc w:val="center"/>
              <w:rPr>
                <w:b/>
                <w:bCs/>
                <w:color w:val="C00000"/>
                <w:sz w:val="16"/>
                <w:szCs w:val="16"/>
              </w:rPr>
            </w:pPr>
            <w:r>
              <w:rPr>
                <w:b/>
                <w:bCs/>
                <w:color w:val="C00000"/>
                <w:sz w:val="16"/>
                <w:szCs w:val="16"/>
                <w:lang w:val="it"/>
              </w:rPr>
              <w:t>Nome</w:t>
            </w:r>
          </w:p>
        </w:tc>
        <w:tc>
          <w:tcPr>
            <w:tcW w:w="2126" w:type="dxa"/>
          </w:tcPr>
          <w:p w14:paraId="65A6714D" w14:textId="77777777" w:rsidR="007A4E0C" w:rsidRPr="007A4E0C" w:rsidRDefault="007A4E0C">
            <w:pPr>
              <w:jc w:val="center"/>
              <w:rPr>
                <w:b/>
                <w:bCs/>
                <w:color w:val="C00000"/>
                <w:sz w:val="16"/>
                <w:szCs w:val="16"/>
              </w:rPr>
            </w:pPr>
            <w:r>
              <w:rPr>
                <w:b/>
                <w:bCs/>
                <w:color w:val="C00000"/>
                <w:sz w:val="16"/>
                <w:szCs w:val="16"/>
                <w:lang w:val="it"/>
              </w:rPr>
              <w:t>Tipi di intermediari</w:t>
            </w:r>
          </w:p>
        </w:tc>
        <w:tc>
          <w:tcPr>
            <w:tcW w:w="1843" w:type="dxa"/>
            <w:hideMark/>
          </w:tcPr>
          <w:p w14:paraId="3D5577EE" w14:textId="77777777" w:rsidR="007A4E0C" w:rsidRPr="007A4E0C" w:rsidRDefault="007A4E0C">
            <w:pPr>
              <w:jc w:val="center"/>
              <w:rPr>
                <w:b/>
                <w:bCs/>
                <w:color w:val="C00000"/>
                <w:sz w:val="16"/>
                <w:szCs w:val="16"/>
              </w:rPr>
            </w:pPr>
            <w:r>
              <w:rPr>
                <w:b/>
                <w:bCs/>
                <w:color w:val="C00000"/>
                <w:sz w:val="16"/>
                <w:szCs w:val="16"/>
                <w:lang w:val="it"/>
              </w:rPr>
              <w:t>Contatto</w:t>
            </w:r>
          </w:p>
        </w:tc>
        <w:tc>
          <w:tcPr>
            <w:tcW w:w="1559" w:type="dxa"/>
            <w:hideMark/>
          </w:tcPr>
          <w:p w14:paraId="12E6C0F4" w14:textId="77777777" w:rsidR="007A4E0C" w:rsidRPr="007A4E0C" w:rsidRDefault="007A4E0C">
            <w:pPr>
              <w:jc w:val="center"/>
              <w:rPr>
                <w:b/>
                <w:bCs/>
                <w:color w:val="C00000"/>
                <w:sz w:val="16"/>
                <w:szCs w:val="16"/>
              </w:rPr>
            </w:pPr>
            <w:r>
              <w:rPr>
                <w:b/>
                <w:bCs/>
                <w:color w:val="C00000"/>
                <w:sz w:val="16"/>
                <w:szCs w:val="16"/>
                <w:lang w:val="it"/>
              </w:rPr>
              <w:t>Sito web</w:t>
            </w:r>
          </w:p>
        </w:tc>
        <w:tc>
          <w:tcPr>
            <w:tcW w:w="1134" w:type="dxa"/>
            <w:hideMark/>
          </w:tcPr>
          <w:p w14:paraId="3984FBCD" w14:textId="77777777" w:rsidR="007A4E0C" w:rsidRPr="007A4E0C" w:rsidRDefault="007A4E0C">
            <w:pPr>
              <w:jc w:val="center"/>
              <w:rPr>
                <w:b/>
                <w:bCs/>
                <w:color w:val="C00000"/>
                <w:sz w:val="16"/>
                <w:szCs w:val="16"/>
              </w:rPr>
            </w:pPr>
            <w:r>
              <w:rPr>
                <w:b/>
                <w:bCs/>
                <w:color w:val="C00000"/>
                <w:sz w:val="16"/>
                <w:szCs w:val="16"/>
                <w:lang w:val="it"/>
              </w:rPr>
              <w:t>Lingue</w:t>
            </w:r>
          </w:p>
        </w:tc>
      </w:tr>
      <w:tr w:rsidR="00780B1D" w:rsidRPr="00F578EE" w14:paraId="0E8AAAF3" w14:textId="77777777" w:rsidTr="42B411E3">
        <w:trPr>
          <w:trHeight w:val="585"/>
        </w:trPr>
        <w:tc>
          <w:tcPr>
            <w:tcW w:w="851" w:type="dxa"/>
            <w:vMerge w:val="restart"/>
            <w:shd w:val="clear" w:color="auto" w:fill="auto"/>
            <w:hideMark/>
          </w:tcPr>
          <w:p w14:paraId="141FFFD1" w14:textId="22809FDF" w:rsidR="00780B1D" w:rsidRPr="007A4E0C" w:rsidRDefault="00780B1D" w:rsidP="005368DB">
            <w:pPr>
              <w:rPr>
                <w:sz w:val="16"/>
                <w:szCs w:val="16"/>
              </w:rPr>
            </w:pPr>
            <w:r>
              <w:rPr>
                <w:sz w:val="16"/>
                <w:szCs w:val="16"/>
                <w:lang w:val="it"/>
              </w:rPr>
              <w:t>IT</w:t>
            </w:r>
          </w:p>
        </w:tc>
        <w:tc>
          <w:tcPr>
            <w:tcW w:w="2126" w:type="dxa"/>
          </w:tcPr>
          <w:p w14:paraId="2FA00D6D" w14:textId="7D571DB1" w:rsidR="00780B1D" w:rsidRPr="007A4E0C" w:rsidRDefault="00780B1D" w:rsidP="005368DB">
            <w:pPr>
              <w:rPr>
                <w:sz w:val="16"/>
                <w:szCs w:val="16"/>
              </w:rPr>
            </w:pPr>
            <w:r>
              <w:rPr>
                <w:sz w:val="16"/>
                <w:szCs w:val="16"/>
                <w:lang w:val="it"/>
              </w:rPr>
              <w:t>ACF - Arbitro per le controversie finanziarie</w:t>
            </w:r>
          </w:p>
        </w:tc>
        <w:tc>
          <w:tcPr>
            <w:tcW w:w="2126" w:type="dxa"/>
            <w:shd w:val="clear" w:color="auto" w:fill="auto"/>
          </w:tcPr>
          <w:p w14:paraId="6D6A8192" w14:textId="23FF7E8E" w:rsidR="005368DB" w:rsidRPr="00A11B81" w:rsidRDefault="00780B1D" w:rsidP="007A4E0C">
            <w:pPr>
              <w:rPr>
                <w:sz w:val="16"/>
                <w:szCs w:val="16"/>
                <w:lang w:val="fr-FR"/>
              </w:rPr>
            </w:pPr>
            <w:r>
              <w:rPr>
                <w:sz w:val="16"/>
                <w:szCs w:val="16"/>
                <w:lang w:val="it"/>
              </w:rPr>
              <w:t>Banche, cooperative di credito, alcune compagnie di assicurazione, alcune banche di investimento, la maggior parte degli intermediari di investimento, la maggior parte degli intermediari mobiliari, i depositari</w:t>
            </w:r>
          </w:p>
        </w:tc>
        <w:tc>
          <w:tcPr>
            <w:tcW w:w="1843" w:type="dxa"/>
            <w:shd w:val="clear" w:color="auto" w:fill="auto"/>
            <w:hideMark/>
          </w:tcPr>
          <w:p w14:paraId="345EF95F" w14:textId="5D6AC129" w:rsidR="00780B1D" w:rsidRPr="007A4E0C" w:rsidRDefault="00000000" w:rsidP="005368DB">
            <w:pPr>
              <w:rPr>
                <w:sz w:val="16"/>
                <w:szCs w:val="16"/>
              </w:rPr>
            </w:pPr>
            <w:hyperlink r:id="rId13" w:history="1">
              <w:r w:rsidR="007A4E0C">
                <w:rPr>
                  <w:rStyle w:val="Hyperlink"/>
                  <w:sz w:val="16"/>
                  <w:szCs w:val="16"/>
                  <w:lang w:val="it"/>
                </w:rPr>
                <w:t>info.acf@consob.it</w:t>
              </w:r>
            </w:hyperlink>
          </w:p>
        </w:tc>
        <w:tc>
          <w:tcPr>
            <w:tcW w:w="1559" w:type="dxa"/>
            <w:shd w:val="clear" w:color="auto" w:fill="auto"/>
            <w:hideMark/>
          </w:tcPr>
          <w:p w14:paraId="3A917266" w14:textId="77777777" w:rsidR="00780B1D" w:rsidRPr="007A4E0C" w:rsidRDefault="00780B1D" w:rsidP="005368DB">
            <w:pPr>
              <w:rPr>
                <w:sz w:val="16"/>
                <w:szCs w:val="16"/>
              </w:rPr>
            </w:pPr>
            <w:r>
              <w:rPr>
                <w:sz w:val="16"/>
                <w:szCs w:val="16"/>
                <w:lang w:val="it"/>
              </w:rPr>
              <w:t>https://www.acf.consob.it/</w:t>
            </w:r>
          </w:p>
        </w:tc>
        <w:tc>
          <w:tcPr>
            <w:tcW w:w="1134" w:type="dxa"/>
            <w:shd w:val="clear" w:color="auto" w:fill="auto"/>
            <w:hideMark/>
          </w:tcPr>
          <w:p w14:paraId="78DE986E" w14:textId="77777777" w:rsidR="00780B1D" w:rsidRPr="007A4E0C" w:rsidRDefault="00780B1D" w:rsidP="005368DB">
            <w:pPr>
              <w:rPr>
                <w:sz w:val="16"/>
                <w:szCs w:val="16"/>
              </w:rPr>
            </w:pPr>
            <w:r>
              <w:rPr>
                <w:sz w:val="16"/>
                <w:szCs w:val="16"/>
                <w:lang w:val="it"/>
              </w:rPr>
              <w:t>Italiano, inglese</w:t>
            </w:r>
          </w:p>
        </w:tc>
      </w:tr>
      <w:tr w:rsidR="00780B1D" w:rsidRPr="00F578EE" w14:paraId="46CF023C" w14:textId="77777777" w:rsidTr="42B411E3">
        <w:trPr>
          <w:trHeight w:val="585"/>
        </w:trPr>
        <w:tc>
          <w:tcPr>
            <w:tcW w:w="851" w:type="dxa"/>
            <w:vMerge/>
          </w:tcPr>
          <w:p w14:paraId="65E782F4" w14:textId="77777777" w:rsidR="00780B1D" w:rsidRPr="007A4E0C" w:rsidRDefault="00780B1D" w:rsidP="005368DB">
            <w:pPr>
              <w:rPr>
                <w:sz w:val="16"/>
                <w:szCs w:val="16"/>
              </w:rPr>
            </w:pPr>
          </w:p>
        </w:tc>
        <w:tc>
          <w:tcPr>
            <w:tcW w:w="2126" w:type="dxa"/>
          </w:tcPr>
          <w:p w14:paraId="08150378" w14:textId="121B1CB2" w:rsidR="00780B1D" w:rsidRPr="007A4E0C" w:rsidRDefault="00780B1D" w:rsidP="005368DB">
            <w:pPr>
              <w:rPr>
                <w:sz w:val="16"/>
                <w:szCs w:val="16"/>
              </w:rPr>
            </w:pPr>
            <w:r>
              <w:rPr>
                <w:sz w:val="16"/>
                <w:szCs w:val="16"/>
                <w:lang w:val="it"/>
              </w:rPr>
              <w:t>Ombudsman bancario</w:t>
            </w:r>
          </w:p>
        </w:tc>
        <w:tc>
          <w:tcPr>
            <w:tcW w:w="2126" w:type="dxa"/>
            <w:shd w:val="clear" w:color="auto" w:fill="auto"/>
          </w:tcPr>
          <w:p w14:paraId="7D97B99B" w14:textId="44605496" w:rsidR="00780B1D" w:rsidRPr="007A4E0C" w:rsidRDefault="00780B1D" w:rsidP="005368DB">
            <w:pPr>
              <w:rPr>
                <w:sz w:val="16"/>
                <w:szCs w:val="16"/>
              </w:rPr>
            </w:pPr>
            <w:r>
              <w:rPr>
                <w:sz w:val="16"/>
                <w:szCs w:val="16"/>
                <w:lang w:val="it"/>
              </w:rPr>
              <w:t>Banche, banche di investimento, intermediari di investimento</w:t>
            </w:r>
          </w:p>
        </w:tc>
        <w:tc>
          <w:tcPr>
            <w:tcW w:w="1843" w:type="dxa"/>
            <w:shd w:val="clear" w:color="auto" w:fill="auto"/>
          </w:tcPr>
          <w:p w14:paraId="7EA9259D" w14:textId="4C3CBFF6" w:rsidR="00780B1D" w:rsidRPr="007A4E0C" w:rsidRDefault="00780B1D" w:rsidP="005368DB">
            <w:pPr>
              <w:rPr>
                <w:sz w:val="16"/>
                <w:szCs w:val="16"/>
              </w:rPr>
            </w:pPr>
            <w:r>
              <w:rPr>
                <w:sz w:val="16"/>
                <w:szCs w:val="16"/>
                <w:lang w:val="it"/>
              </w:rPr>
              <w:t>segreteria@conciliatorebancario.it</w:t>
            </w:r>
          </w:p>
        </w:tc>
        <w:tc>
          <w:tcPr>
            <w:tcW w:w="1559" w:type="dxa"/>
            <w:shd w:val="clear" w:color="auto" w:fill="auto"/>
          </w:tcPr>
          <w:p w14:paraId="3A14E32F" w14:textId="7C1D5464" w:rsidR="00780B1D" w:rsidRPr="007A4E0C" w:rsidRDefault="00780B1D" w:rsidP="005368DB">
            <w:pPr>
              <w:rPr>
                <w:sz w:val="16"/>
                <w:szCs w:val="16"/>
              </w:rPr>
            </w:pPr>
            <w:r>
              <w:rPr>
                <w:sz w:val="16"/>
                <w:szCs w:val="16"/>
                <w:lang w:val="it"/>
              </w:rPr>
              <w:t>http://www.conciliatorebancario.it/</w:t>
            </w:r>
          </w:p>
        </w:tc>
        <w:tc>
          <w:tcPr>
            <w:tcW w:w="1134" w:type="dxa"/>
            <w:shd w:val="clear" w:color="auto" w:fill="auto"/>
          </w:tcPr>
          <w:p w14:paraId="12542211" w14:textId="77777777" w:rsidR="00780B1D" w:rsidRPr="007A4E0C" w:rsidRDefault="00780B1D" w:rsidP="005368DB">
            <w:pPr>
              <w:rPr>
                <w:sz w:val="16"/>
                <w:szCs w:val="16"/>
              </w:rPr>
            </w:pPr>
            <w:r>
              <w:rPr>
                <w:sz w:val="16"/>
                <w:szCs w:val="16"/>
                <w:lang w:val="it"/>
              </w:rPr>
              <w:t>Italiano, francese, inglese, spagnolo</w:t>
            </w:r>
          </w:p>
          <w:p w14:paraId="4E5C5252" w14:textId="3A7414F1" w:rsidR="001558D0" w:rsidRPr="007A4E0C" w:rsidRDefault="001558D0" w:rsidP="005368DB">
            <w:pPr>
              <w:rPr>
                <w:sz w:val="16"/>
                <w:szCs w:val="16"/>
              </w:rPr>
            </w:pPr>
          </w:p>
        </w:tc>
      </w:tr>
      <w:tr w:rsidR="00780B1D" w:rsidRPr="00F578EE" w14:paraId="2A9652F9" w14:textId="77777777" w:rsidTr="42B411E3">
        <w:trPr>
          <w:trHeight w:val="585"/>
        </w:trPr>
        <w:tc>
          <w:tcPr>
            <w:tcW w:w="851" w:type="dxa"/>
            <w:vMerge/>
          </w:tcPr>
          <w:p w14:paraId="17BAFC2D" w14:textId="77777777" w:rsidR="00780B1D" w:rsidRPr="007A4E0C" w:rsidRDefault="00780B1D" w:rsidP="005368DB">
            <w:pPr>
              <w:rPr>
                <w:sz w:val="16"/>
                <w:szCs w:val="16"/>
              </w:rPr>
            </w:pPr>
          </w:p>
        </w:tc>
        <w:tc>
          <w:tcPr>
            <w:tcW w:w="2126" w:type="dxa"/>
          </w:tcPr>
          <w:p w14:paraId="1EB411E2" w14:textId="352882DA" w:rsidR="00780B1D" w:rsidRPr="00A11B81" w:rsidRDefault="00780B1D" w:rsidP="005368DB">
            <w:pPr>
              <w:rPr>
                <w:sz w:val="16"/>
                <w:szCs w:val="16"/>
                <w:lang w:val="fr-FR"/>
              </w:rPr>
            </w:pPr>
            <w:r>
              <w:rPr>
                <w:sz w:val="16"/>
                <w:szCs w:val="16"/>
                <w:lang w:val="it"/>
              </w:rPr>
              <w:t>IVASS - Autorità di vigilanza sulle assicurazioni</w:t>
            </w:r>
          </w:p>
        </w:tc>
        <w:tc>
          <w:tcPr>
            <w:tcW w:w="2126" w:type="dxa"/>
            <w:shd w:val="clear" w:color="auto" w:fill="auto"/>
          </w:tcPr>
          <w:p w14:paraId="7B6917BF" w14:textId="658A533B" w:rsidR="00780B1D" w:rsidRPr="00A11B81" w:rsidRDefault="00780B1D" w:rsidP="005368DB">
            <w:pPr>
              <w:rPr>
                <w:sz w:val="16"/>
                <w:szCs w:val="16"/>
                <w:lang w:val="fr-FR"/>
              </w:rPr>
            </w:pPr>
            <w:r>
              <w:rPr>
                <w:sz w:val="16"/>
                <w:szCs w:val="16"/>
                <w:lang w:val="it"/>
              </w:rPr>
              <w:t>compagnie di assicurazione, intermediari assicurativi.</w:t>
            </w:r>
          </w:p>
        </w:tc>
        <w:tc>
          <w:tcPr>
            <w:tcW w:w="1843" w:type="dxa"/>
            <w:shd w:val="clear" w:color="auto" w:fill="auto"/>
          </w:tcPr>
          <w:p w14:paraId="2902B5F4" w14:textId="77777777" w:rsidR="00780B1D" w:rsidRPr="00A11B81" w:rsidRDefault="00000000" w:rsidP="005368DB">
            <w:pPr>
              <w:rPr>
                <w:sz w:val="16"/>
                <w:szCs w:val="16"/>
                <w:lang w:val="fr-FR"/>
              </w:rPr>
            </w:pPr>
            <w:hyperlink r:id="rId14" w:history="1">
              <w:r w:rsidR="00780B1D">
                <w:rPr>
                  <w:rStyle w:val="Hyperlink"/>
                  <w:color w:val="auto"/>
                  <w:sz w:val="16"/>
                  <w:szCs w:val="16"/>
                  <w:lang w:val="it"/>
                </w:rPr>
                <w:t>scrivi@ivass.it</w:t>
              </w:r>
            </w:hyperlink>
            <w:r w:rsidR="00780B1D">
              <w:rPr>
                <w:sz w:val="16"/>
                <w:szCs w:val="16"/>
                <w:lang w:val="it"/>
              </w:rPr>
              <w:t> / </w:t>
            </w:r>
          </w:p>
          <w:p w14:paraId="4940BCB6" w14:textId="4F113276" w:rsidR="00780B1D" w:rsidRPr="00A11B81" w:rsidRDefault="00000000" w:rsidP="005368DB">
            <w:pPr>
              <w:rPr>
                <w:sz w:val="16"/>
                <w:szCs w:val="16"/>
                <w:lang w:val="fr-FR"/>
              </w:rPr>
            </w:pPr>
            <w:hyperlink r:id="rId15" w:history="1">
              <w:r w:rsidR="00780B1D">
                <w:rPr>
                  <w:rStyle w:val="Hyperlink"/>
                  <w:color w:val="auto"/>
                  <w:sz w:val="16"/>
                  <w:szCs w:val="16"/>
                  <w:lang w:val="it"/>
                </w:rPr>
                <w:t>ivass@pec.ivass.it</w:t>
              </w:r>
            </w:hyperlink>
          </w:p>
        </w:tc>
        <w:tc>
          <w:tcPr>
            <w:tcW w:w="1559" w:type="dxa"/>
            <w:shd w:val="clear" w:color="auto" w:fill="auto"/>
          </w:tcPr>
          <w:p w14:paraId="53946EE1" w14:textId="64850941" w:rsidR="00780B1D" w:rsidRPr="007A4E0C" w:rsidRDefault="00780B1D" w:rsidP="005368DB">
            <w:pPr>
              <w:rPr>
                <w:sz w:val="16"/>
                <w:szCs w:val="16"/>
              </w:rPr>
            </w:pPr>
            <w:r>
              <w:rPr>
                <w:sz w:val="16"/>
                <w:szCs w:val="16"/>
                <w:lang w:val="it"/>
              </w:rPr>
              <w:t>https://www.isvap.it/</w:t>
            </w:r>
          </w:p>
        </w:tc>
        <w:tc>
          <w:tcPr>
            <w:tcW w:w="1134" w:type="dxa"/>
            <w:shd w:val="clear" w:color="auto" w:fill="auto"/>
          </w:tcPr>
          <w:p w14:paraId="006E82A3" w14:textId="253DF388" w:rsidR="00780B1D" w:rsidRPr="007A4E0C" w:rsidRDefault="00780B1D" w:rsidP="005368DB">
            <w:pPr>
              <w:rPr>
                <w:sz w:val="16"/>
                <w:szCs w:val="16"/>
              </w:rPr>
            </w:pPr>
            <w:r>
              <w:rPr>
                <w:sz w:val="16"/>
                <w:szCs w:val="16"/>
                <w:lang w:val="it"/>
              </w:rPr>
              <w:t>Italiano e inglese</w:t>
            </w:r>
          </w:p>
        </w:tc>
      </w:tr>
      <w:tr w:rsidR="00780B1D" w:rsidRPr="00F578EE" w14:paraId="09AF2312" w14:textId="77777777" w:rsidTr="42B411E3">
        <w:trPr>
          <w:trHeight w:val="585"/>
        </w:trPr>
        <w:tc>
          <w:tcPr>
            <w:tcW w:w="851" w:type="dxa"/>
            <w:vMerge/>
          </w:tcPr>
          <w:p w14:paraId="41E85B7C" w14:textId="77777777" w:rsidR="00780B1D" w:rsidRPr="007A4E0C" w:rsidRDefault="00780B1D" w:rsidP="005368DB">
            <w:pPr>
              <w:rPr>
                <w:sz w:val="16"/>
                <w:szCs w:val="16"/>
              </w:rPr>
            </w:pPr>
          </w:p>
        </w:tc>
        <w:tc>
          <w:tcPr>
            <w:tcW w:w="2126" w:type="dxa"/>
          </w:tcPr>
          <w:p w14:paraId="20457CA5" w14:textId="6E30A2C9" w:rsidR="00780B1D" w:rsidRPr="00A11B81" w:rsidRDefault="00780B1D" w:rsidP="005368DB">
            <w:pPr>
              <w:rPr>
                <w:sz w:val="16"/>
                <w:szCs w:val="16"/>
                <w:lang w:val="de-DE"/>
              </w:rPr>
            </w:pPr>
            <w:r>
              <w:rPr>
                <w:sz w:val="16"/>
                <w:szCs w:val="16"/>
                <w:lang w:val="it"/>
              </w:rPr>
              <w:t>ABF - Ombudsman bancario e finanziario</w:t>
            </w:r>
          </w:p>
        </w:tc>
        <w:tc>
          <w:tcPr>
            <w:tcW w:w="2126" w:type="dxa"/>
            <w:shd w:val="clear" w:color="auto" w:fill="auto"/>
          </w:tcPr>
          <w:p w14:paraId="0A0A738D" w14:textId="1BA6DD76" w:rsidR="005368DB" w:rsidRPr="00A11B81" w:rsidRDefault="00780B1D" w:rsidP="007A4E0C">
            <w:pPr>
              <w:rPr>
                <w:sz w:val="16"/>
                <w:szCs w:val="16"/>
                <w:lang w:val="de-DE"/>
              </w:rPr>
            </w:pPr>
            <w:r>
              <w:rPr>
                <w:sz w:val="16"/>
                <w:szCs w:val="16"/>
                <w:lang w:val="it"/>
              </w:rPr>
              <w:t>Banche, banche di credito ipotecario, intermediari di mutui ipotecari, cooperative di credito, istituti di pagamento, istituti di moneta elettronica, Poste Italiane S.p.A.</w:t>
            </w:r>
          </w:p>
        </w:tc>
        <w:tc>
          <w:tcPr>
            <w:tcW w:w="1843" w:type="dxa"/>
            <w:shd w:val="clear" w:color="auto" w:fill="auto"/>
          </w:tcPr>
          <w:p w14:paraId="6069E631" w14:textId="3E3EA5FE" w:rsidR="00780B1D" w:rsidRPr="00A11B81" w:rsidRDefault="00000000" w:rsidP="005368DB">
            <w:pPr>
              <w:rPr>
                <w:sz w:val="16"/>
                <w:szCs w:val="16"/>
                <w:lang w:val="de-DE"/>
              </w:rPr>
            </w:pPr>
            <w:hyperlink r:id="rId16" w:history="1">
              <w:r w:rsidR="00780B1D">
                <w:rPr>
                  <w:rStyle w:val="Hyperlink"/>
                  <w:color w:val="auto"/>
                  <w:sz w:val="16"/>
                  <w:szCs w:val="16"/>
                  <w:lang w:val="it"/>
                </w:rPr>
                <w:t>abf@bancaditalia.it</w:t>
              </w:r>
            </w:hyperlink>
            <w:r w:rsidR="00780B1D">
              <w:rPr>
                <w:sz w:val="16"/>
                <w:szCs w:val="16"/>
                <w:lang w:val="it"/>
              </w:rPr>
              <w:t xml:space="preserve"> / </w:t>
            </w:r>
            <w:hyperlink r:id="rId17" w:history="1">
              <w:r w:rsidR="00780B1D">
                <w:rPr>
                  <w:rStyle w:val="Hyperlink"/>
                  <w:color w:val="auto"/>
                  <w:sz w:val="16"/>
                  <w:szCs w:val="16"/>
                  <w:lang w:val="it"/>
                </w:rPr>
                <w:t>roma.abf.segreteriatecnica@bancaditalia.it</w:t>
              </w:r>
            </w:hyperlink>
          </w:p>
        </w:tc>
        <w:tc>
          <w:tcPr>
            <w:tcW w:w="1559" w:type="dxa"/>
            <w:shd w:val="clear" w:color="auto" w:fill="auto"/>
          </w:tcPr>
          <w:p w14:paraId="59B0CD0D" w14:textId="158CB8EA" w:rsidR="00780B1D" w:rsidRPr="007A4E0C" w:rsidRDefault="00780B1D" w:rsidP="005368DB">
            <w:pPr>
              <w:rPr>
                <w:sz w:val="16"/>
                <w:szCs w:val="16"/>
              </w:rPr>
            </w:pPr>
            <w:r>
              <w:rPr>
                <w:sz w:val="16"/>
                <w:szCs w:val="16"/>
                <w:lang w:val="it"/>
              </w:rPr>
              <w:t>http://www.arbitrobancariofinanziario.it/</w:t>
            </w:r>
          </w:p>
        </w:tc>
        <w:tc>
          <w:tcPr>
            <w:tcW w:w="1134" w:type="dxa"/>
            <w:shd w:val="clear" w:color="auto" w:fill="auto"/>
          </w:tcPr>
          <w:p w14:paraId="6EB75119" w14:textId="14EC38A7" w:rsidR="00780B1D" w:rsidRPr="007A4E0C" w:rsidRDefault="00780B1D" w:rsidP="005368DB">
            <w:pPr>
              <w:rPr>
                <w:sz w:val="16"/>
                <w:szCs w:val="16"/>
              </w:rPr>
            </w:pPr>
            <w:r>
              <w:rPr>
                <w:sz w:val="16"/>
                <w:szCs w:val="16"/>
                <w:lang w:val="it"/>
              </w:rPr>
              <w:t>Italiano, inglese</w:t>
            </w:r>
          </w:p>
        </w:tc>
      </w:tr>
      <w:tr w:rsidR="007A25F5" w:rsidRPr="00F578EE" w14:paraId="059948D2" w14:textId="77777777" w:rsidTr="42B411E3">
        <w:trPr>
          <w:trHeight w:val="585"/>
        </w:trPr>
        <w:tc>
          <w:tcPr>
            <w:tcW w:w="851" w:type="dxa"/>
            <w:shd w:val="clear" w:color="auto" w:fill="auto"/>
          </w:tcPr>
          <w:p w14:paraId="5E3C71DA" w14:textId="39808F84" w:rsidR="007A25F5" w:rsidRPr="007A4E0C" w:rsidRDefault="007A25F5" w:rsidP="005368DB">
            <w:pPr>
              <w:rPr>
                <w:sz w:val="16"/>
                <w:szCs w:val="16"/>
              </w:rPr>
            </w:pPr>
            <w:r>
              <w:rPr>
                <w:sz w:val="16"/>
                <w:szCs w:val="16"/>
                <w:lang w:val="it"/>
              </w:rPr>
              <w:t>IR</w:t>
            </w:r>
          </w:p>
        </w:tc>
        <w:tc>
          <w:tcPr>
            <w:tcW w:w="2126" w:type="dxa"/>
          </w:tcPr>
          <w:p w14:paraId="4FE897F4" w14:textId="3E447B5F" w:rsidR="007A25F5" w:rsidRPr="007A4E0C" w:rsidRDefault="007A25F5" w:rsidP="007A25F5">
            <w:pPr>
              <w:rPr>
                <w:sz w:val="16"/>
                <w:szCs w:val="16"/>
              </w:rPr>
            </w:pPr>
            <w:r>
              <w:rPr>
                <w:sz w:val="16"/>
                <w:szCs w:val="16"/>
                <w:lang w:val="it"/>
              </w:rPr>
              <w:t>Ombudsman per i servizi finanziari e le pensioni</w:t>
            </w:r>
          </w:p>
        </w:tc>
        <w:tc>
          <w:tcPr>
            <w:tcW w:w="2126" w:type="dxa"/>
            <w:shd w:val="clear" w:color="auto" w:fill="auto"/>
          </w:tcPr>
          <w:p w14:paraId="291A4ABA" w14:textId="565207BB" w:rsidR="007A25F5" w:rsidRPr="00A11B81" w:rsidRDefault="007A25F5" w:rsidP="007A4E0C">
            <w:pPr>
              <w:rPr>
                <w:sz w:val="16"/>
                <w:szCs w:val="16"/>
                <w:lang w:val="fr-FR"/>
              </w:rPr>
            </w:pPr>
            <w:r>
              <w:rPr>
                <w:rFonts w:cs="Arial"/>
                <w:sz w:val="16"/>
                <w:szCs w:val="16"/>
                <w:shd w:val="clear" w:color="auto" w:fill="FFFFFF"/>
                <w:lang w:val="it"/>
              </w:rPr>
              <w:t>pagamenti, depositi, credito e prestiti, mutui, assicurazioni vita/non vita, investimenti, titoli, alcune pensioni</w:t>
            </w:r>
          </w:p>
        </w:tc>
        <w:tc>
          <w:tcPr>
            <w:tcW w:w="1843" w:type="dxa"/>
            <w:shd w:val="clear" w:color="auto" w:fill="auto"/>
          </w:tcPr>
          <w:p w14:paraId="70B1884D" w14:textId="29600E40" w:rsidR="007A25F5" w:rsidRPr="007A4E0C" w:rsidRDefault="007A25F5" w:rsidP="005368DB">
            <w:pPr>
              <w:rPr>
                <w:sz w:val="16"/>
                <w:szCs w:val="16"/>
              </w:rPr>
            </w:pPr>
            <w:r>
              <w:rPr>
                <w:sz w:val="16"/>
                <w:szCs w:val="16"/>
                <w:lang w:val="it"/>
              </w:rPr>
              <w:t>info@fspo.ie</w:t>
            </w:r>
          </w:p>
        </w:tc>
        <w:tc>
          <w:tcPr>
            <w:tcW w:w="1559" w:type="dxa"/>
            <w:shd w:val="clear" w:color="auto" w:fill="auto"/>
          </w:tcPr>
          <w:p w14:paraId="65C6DDCB" w14:textId="7FB92347" w:rsidR="007A25F5" w:rsidRPr="007A4E0C" w:rsidRDefault="007A25F5" w:rsidP="005368DB">
            <w:pPr>
              <w:rPr>
                <w:sz w:val="16"/>
                <w:szCs w:val="16"/>
              </w:rPr>
            </w:pPr>
            <w:r>
              <w:rPr>
                <w:sz w:val="16"/>
                <w:szCs w:val="16"/>
                <w:lang w:val="it"/>
              </w:rPr>
              <w:t>http://www.fspo.ie/</w:t>
            </w:r>
          </w:p>
        </w:tc>
        <w:tc>
          <w:tcPr>
            <w:tcW w:w="1134" w:type="dxa"/>
            <w:shd w:val="clear" w:color="auto" w:fill="auto"/>
          </w:tcPr>
          <w:p w14:paraId="02251A1A" w14:textId="77777777" w:rsidR="007A25F5" w:rsidRPr="007A4E0C" w:rsidRDefault="007A25F5" w:rsidP="005368DB">
            <w:pPr>
              <w:rPr>
                <w:sz w:val="16"/>
                <w:szCs w:val="16"/>
              </w:rPr>
            </w:pPr>
            <w:r>
              <w:rPr>
                <w:sz w:val="16"/>
                <w:szCs w:val="16"/>
                <w:lang w:val="it"/>
              </w:rPr>
              <w:t>Inglese,</w:t>
            </w:r>
          </w:p>
          <w:p w14:paraId="19379D46" w14:textId="19DE59BB" w:rsidR="007A25F5" w:rsidRPr="007A4E0C" w:rsidRDefault="007A25F5" w:rsidP="005368DB">
            <w:pPr>
              <w:rPr>
                <w:sz w:val="16"/>
                <w:szCs w:val="16"/>
              </w:rPr>
            </w:pPr>
            <w:r>
              <w:rPr>
                <w:sz w:val="16"/>
                <w:szCs w:val="16"/>
                <w:lang w:val="it"/>
              </w:rPr>
              <w:t>irlandese</w:t>
            </w:r>
          </w:p>
        </w:tc>
      </w:tr>
      <w:tr w:rsidR="00780B1D" w:rsidRPr="00F578EE" w14:paraId="468FE663" w14:textId="77777777" w:rsidTr="42B411E3">
        <w:trPr>
          <w:trHeight w:val="570"/>
        </w:trPr>
        <w:tc>
          <w:tcPr>
            <w:tcW w:w="851" w:type="dxa"/>
            <w:shd w:val="clear" w:color="auto" w:fill="auto"/>
            <w:hideMark/>
          </w:tcPr>
          <w:p w14:paraId="652A033F" w14:textId="07FA1BA4" w:rsidR="00780B1D" w:rsidRPr="00F578EE" w:rsidRDefault="00780B1D" w:rsidP="005368DB">
            <w:pPr>
              <w:rPr>
                <w:sz w:val="16"/>
                <w:szCs w:val="16"/>
              </w:rPr>
            </w:pPr>
            <w:r>
              <w:rPr>
                <w:sz w:val="16"/>
                <w:szCs w:val="16"/>
                <w:lang w:val="it"/>
              </w:rPr>
              <w:t>LU</w:t>
            </w:r>
          </w:p>
        </w:tc>
        <w:tc>
          <w:tcPr>
            <w:tcW w:w="2126" w:type="dxa"/>
          </w:tcPr>
          <w:p w14:paraId="30F1A205" w14:textId="5AE1DEB2" w:rsidR="00780B1D" w:rsidRPr="00A11B81" w:rsidRDefault="00780B1D" w:rsidP="005368DB">
            <w:pPr>
              <w:rPr>
                <w:sz w:val="16"/>
                <w:szCs w:val="16"/>
                <w:lang w:val="fr-FR"/>
              </w:rPr>
            </w:pPr>
            <w:r>
              <w:rPr>
                <w:sz w:val="16"/>
                <w:szCs w:val="16"/>
                <w:lang w:val="it"/>
              </w:rPr>
              <w:t>Commission de Surveillance du Secteur Financier (CSSF)</w:t>
            </w:r>
          </w:p>
        </w:tc>
        <w:tc>
          <w:tcPr>
            <w:tcW w:w="2126" w:type="dxa"/>
            <w:shd w:val="clear" w:color="auto" w:fill="auto"/>
          </w:tcPr>
          <w:p w14:paraId="6D09E202" w14:textId="6B8AC378" w:rsidR="005368DB" w:rsidRPr="00F578EE" w:rsidRDefault="00780B1D" w:rsidP="007A4E0C">
            <w:pPr>
              <w:rPr>
                <w:sz w:val="16"/>
                <w:szCs w:val="16"/>
              </w:rPr>
            </w:pPr>
            <w:r>
              <w:rPr>
                <w:sz w:val="16"/>
                <w:szCs w:val="16"/>
                <w:lang w:val="it"/>
              </w:rPr>
              <w:t>Banche, istituti di credito ipotecario, banche di investimento, intermediari di investimento</w:t>
            </w:r>
          </w:p>
        </w:tc>
        <w:tc>
          <w:tcPr>
            <w:tcW w:w="1843" w:type="dxa"/>
            <w:shd w:val="clear" w:color="auto" w:fill="auto"/>
            <w:hideMark/>
          </w:tcPr>
          <w:p w14:paraId="72FD70E2" w14:textId="4EEB0E0B" w:rsidR="00780B1D" w:rsidRPr="00F578EE" w:rsidRDefault="00000000" w:rsidP="005368DB">
            <w:pPr>
              <w:rPr>
                <w:sz w:val="16"/>
                <w:szCs w:val="16"/>
              </w:rPr>
            </w:pPr>
            <w:hyperlink r:id="rId18" w:history="1">
              <w:r w:rsidR="00706116">
                <w:rPr>
                  <w:rStyle w:val="Hyperlink"/>
                  <w:sz w:val="16"/>
                  <w:szCs w:val="16"/>
                  <w:lang w:val="it"/>
                </w:rPr>
                <w:t>reclamation@cssf.lu</w:t>
              </w:r>
            </w:hyperlink>
            <w:r w:rsidR="00706116">
              <w:rPr>
                <w:sz w:val="16"/>
                <w:szCs w:val="16"/>
                <w:lang w:val="it"/>
              </w:rPr>
              <w:t xml:space="preserve">  </w:t>
            </w:r>
            <w:hyperlink r:id="rId19" w:history="1">
              <w:r w:rsidR="00706116">
                <w:rPr>
                  <w:rStyle w:val="Hyperlink"/>
                  <w:sz w:val="16"/>
                  <w:szCs w:val="16"/>
                  <w:lang w:val="it"/>
                </w:rPr>
                <w:t>CSSF - Dichiarazione</w:t>
              </w:r>
            </w:hyperlink>
          </w:p>
        </w:tc>
        <w:tc>
          <w:tcPr>
            <w:tcW w:w="1559" w:type="dxa"/>
            <w:shd w:val="clear" w:color="auto" w:fill="auto"/>
            <w:hideMark/>
          </w:tcPr>
          <w:p w14:paraId="7FE07F17" w14:textId="77777777" w:rsidR="00780B1D" w:rsidRPr="00F578EE" w:rsidRDefault="00780B1D" w:rsidP="005368DB">
            <w:pPr>
              <w:rPr>
                <w:sz w:val="16"/>
                <w:szCs w:val="16"/>
              </w:rPr>
            </w:pPr>
            <w:r>
              <w:rPr>
                <w:sz w:val="16"/>
                <w:szCs w:val="16"/>
                <w:lang w:val="it"/>
              </w:rPr>
              <w:t>http://www.cssf.lu/en/</w:t>
            </w:r>
          </w:p>
        </w:tc>
        <w:tc>
          <w:tcPr>
            <w:tcW w:w="1134" w:type="dxa"/>
            <w:shd w:val="clear" w:color="auto" w:fill="auto"/>
            <w:hideMark/>
          </w:tcPr>
          <w:p w14:paraId="62789242" w14:textId="77777777" w:rsidR="00780B1D" w:rsidRPr="00F578EE" w:rsidRDefault="7DFC20B7" w:rsidP="005368DB">
            <w:pPr>
              <w:rPr>
                <w:sz w:val="16"/>
                <w:szCs w:val="16"/>
              </w:rPr>
            </w:pPr>
            <w:r>
              <w:rPr>
                <w:sz w:val="16"/>
                <w:szCs w:val="16"/>
                <w:lang w:val="it"/>
              </w:rPr>
              <w:t>Francese, tedesco, inglese</w:t>
            </w:r>
          </w:p>
        </w:tc>
      </w:tr>
      <w:tr w:rsidR="00780B1D" w:rsidRPr="00F578EE" w14:paraId="15F81650" w14:textId="77777777" w:rsidTr="42B411E3">
        <w:trPr>
          <w:trHeight w:val="855"/>
        </w:trPr>
        <w:tc>
          <w:tcPr>
            <w:tcW w:w="851" w:type="dxa"/>
            <w:shd w:val="clear" w:color="auto" w:fill="auto"/>
            <w:hideMark/>
          </w:tcPr>
          <w:p w14:paraId="04E0A92E" w14:textId="447B42E1" w:rsidR="00780B1D" w:rsidRPr="00F578EE" w:rsidRDefault="00780B1D" w:rsidP="005368DB">
            <w:pPr>
              <w:rPr>
                <w:sz w:val="16"/>
                <w:szCs w:val="16"/>
              </w:rPr>
            </w:pPr>
            <w:r>
              <w:rPr>
                <w:sz w:val="16"/>
                <w:szCs w:val="16"/>
                <w:lang w:val="it"/>
              </w:rPr>
              <w:t>NL</w:t>
            </w:r>
          </w:p>
        </w:tc>
        <w:tc>
          <w:tcPr>
            <w:tcW w:w="2126" w:type="dxa"/>
          </w:tcPr>
          <w:p w14:paraId="25217A11" w14:textId="26293F3D" w:rsidR="00780B1D" w:rsidRPr="00F578EE" w:rsidRDefault="00780B1D" w:rsidP="005368DB">
            <w:pPr>
              <w:rPr>
                <w:sz w:val="16"/>
                <w:szCs w:val="16"/>
              </w:rPr>
            </w:pPr>
            <w:r>
              <w:rPr>
                <w:sz w:val="16"/>
                <w:szCs w:val="16"/>
                <w:lang w:val="it"/>
              </w:rPr>
              <w:t>Financial Services Complaints Institute</w:t>
            </w:r>
          </w:p>
        </w:tc>
        <w:tc>
          <w:tcPr>
            <w:tcW w:w="2126" w:type="dxa"/>
            <w:shd w:val="clear" w:color="auto" w:fill="auto"/>
          </w:tcPr>
          <w:p w14:paraId="6EA76D1B" w14:textId="4579B6FF" w:rsidR="005368DB" w:rsidRPr="00F578EE" w:rsidRDefault="00780B1D" w:rsidP="007A4E0C">
            <w:pPr>
              <w:rPr>
                <w:sz w:val="16"/>
                <w:szCs w:val="16"/>
              </w:rPr>
            </w:pPr>
            <w:r>
              <w:rPr>
                <w:sz w:val="16"/>
                <w:szCs w:val="16"/>
                <w:lang w:val="it"/>
              </w:rPr>
              <w:t>Banche, compagnie di assicurazione, intermediari assicurativi, la maggior parte degli istituti di credito ipotecario, la maggior parte degli intermediari di mutui ipotecari, la maggior parte delle cooperative di credito, alcune banche di investimento, alcuni intermediari di investimenti, alcuni intermediari di fondi pensione, alcuni intermediari mobiliari</w:t>
            </w:r>
          </w:p>
        </w:tc>
        <w:tc>
          <w:tcPr>
            <w:tcW w:w="1843" w:type="dxa"/>
            <w:shd w:val="clear" w:color="auto" w:fill="auto"/>
            <w:hideMark/>
          </w:tcPr>
          <w:p w14:paraId="22FFDFB2" w14:textId="77777777" w:rsidR="00780B1D" w:rsidRPr="00F578EE" w:rsidRDefault="00780B1D" w:rsidP="005368DB">
            <w:pPr>
              <w:rPr>
                <w:sz w:val="16"/>
                <w:szCs w:val="16"/>
              </w:rPr>
            </w:pPr>
            <w:r>
              <w:rPr>
                <w:sz w:val="16"/>
                <w:szCs w:val="16"/>
                <w:lang w:val="it"/>
              </w:rPr>
              <w:t>consumenten@kifid.nl</w:t>
            </w:r>
          </w:p>
        </w:tc>
        <w:tc>
          <w:tcPr>
            <w:tcW w:w="1559" w:type="dxa"/>
            <w:shd w:val="clear" w:color="auto" w:fill="auto"/>
            <w:hideMark/>
          </w:tcPr>
          <w:p w14:paraId="4D357D11" w14:textId="77777777" w:rsidR="00780B1D" w:rsidRPr="00F578EE" w:rsidRDefault="00780B1D" w:rsidP="005368DB">
            <w:pPr>
              <w:rPr>
                <w:sz w:val="16"/>
                <w:szCs w:val="16"/>
              </w:rPr>
            </w:pPr>
            <w:r>
              <w:rPr>
                <w:sz w:val="16"/>
                <w:szCs w:val="16"/>
                <w:lang w:val="it"/>
              </w:rPr>
              <w:t>http://www.kifid.nl/</w:t>
            </w:r>
          </w:p>
        </w:tc>
        <w:tc>
          <w:tcPr>
            <w:tcW w:w="1134" w:type="dxa"/>
            <w:shd w:val="clear" w:color="auto" w:fill="auto"/>
            <w:hideMark/>
          </w:tcPr>
          <w:p w14:paraId="180BC102" w14:textId="77777777" w:rsidR="00780B1D" w:rsidRPr="00F578EE" w:rsidRDefault="00780B1D" w:rsidP="005368DB">
            <w:pPr>
              <w:rPr>
                <w:sz w:val="16"/>
                <w:szCs w:val="16"/>
              </w:rPr>
            </w:pPr>
            <w:r>
              <w:rPr>
                <w:sz w:val="16"/>
                <w:szCs w:val="16"/>
                <w:lang w:val="it"/>
              </w:rPr>
              <w:t>Inglese</w:t>
            </w:r>
          </w:p>
        </w:tc>
      </w:tr>
      <w:tr w:rsidR="00780B1D" w:rsidRPr="00F578EE" w14:paraId="12077433" w14:textId="77777777" w:rsidTr="42B411E3">
        <w:trPr>
          <w:trHeight w:val="570"/>
        </w:trPr>
        <w:tc>
          <w:tcPr>
            <w:tcW w:w="851" w:type="dxa"/>
            <w:vMerge w:val="restart"/>
            <w:shd w:val="clear" w:color="auto" w:fill="auto"/>
            <w:hideMark/>
          </w:tcPr>
          <w:p w14:paraId="09CBC4AE" w14:textId="0B4A2F29" w:rsidR="00780B1D" w:rsidRPr="00F578EE" w:rsidRDefault="00780B1D" w:rsidP="005368DB">
            <w:pPr>
              <w:rPr>
                <w:sz w:val="16"/>
                <w:szCs w:val="16"/>
              </w:rPr>
            </w:pPr>
            <w:r>
              <w:rPr>
                <w:sz w:val="16"/>
                <w:szCs w:val="16"/>
                <w:lang w:val="it"/>
              </w:rPr>
              <w:t>PT</w:t>
            </w:r>
          </w:p>
        </w:tc>
        <w:tc>
          <w:tcPr>
            <w:tcW w:w="2126" w:type="dxa"/>
          </w:tcPr>
          <w:p w14:paraId="193BF022" w14:textId="176BC235" w:rsidR="00780B1D" w:rsidRPr="00F578EE" w:rsidRDefault="00780B1D" w:rsidP="005368DB">
            <w:pPr>
              <w:rPr>
                <w:sz w:val="16"/>
                <w:szCs w:val="16"/>
              </w:rPr>
            </w:pPr>
            <w:r>
              <w:rPr>
                <w:sz w:val="16"/>
                <w:szCs w:val="16"/>
                <w:lang w:val="it"/>
              </w:rPr>
              <w:t>Commissione portoghese per il mercato dei valori mobiliari (CMVM)</w:t>
            </w:r>
          </w:p>
        </w:tc>
        <w:tc>
          <w:tcPr>
            <w:tcW w:w="2126" w:type="dxa"/>
            <w:shd w:val="clear" w:color="auto" w:fill="auto"/>
          </w:tcPr>
          <w:p w14:paraId="44D7F9BC" w14:textId="696E3DC2" w:rsidR="005368DB" w:rsidRPr="00F578EE" w:rsidRDefault="00780B1D" w:rsidP="007A4E0C">
            <w:pPr>
              <w:rPr>
                <w:sz w:val="16"/>
                <w:szCs w:val="16"/>
              </w:rPr>
            </w:pPr>
            <w:r>
              <w:rPr>
                <w:sz w:val="16"/>
                <w:szCs w:val="16"/>
                <w:lang w:val="it"/>
              </w:rPr>
              <w:t>Banche, cooperative di credito, banche di investimento, intermediari di investimento, intermediari mobiliari, la maggior parte delle compagnie di assicurazione</w:t>
            </w:r>
          </w:p>
        </w:tc>
        <w:tc>
          <w:tcPr>
            <w:tcW w:w="1843" w:type="dxa"/>
            <w:shd w:val="clear" w:color="auto" w:fill="auto"/>
            <w:hideMark/>
          </w:tcPr>
          <w:p w14:paraId="1962C04E" w14:textId="77777777" w:rsidR="00780B1D" w:rsidRPr="00F578EE" w:rsidRDefault="00780B1D" w:rsidP="005368DB">
            <w:pPr>
              <w:rPr>
                <w:sz w:val="16"/>
                <w:szCs w:val="16"/>
              </w:rPr>
            </w:pPr>
            <w:r>
              <w:rPr>
                <w:sz w:val="16"/>
                <w:szCs w:val="16"/>
                <w:lang w:val="it"/>
              </w:rPr>
              <w:t>cmvm@cmvm.pt</w:t>
            </w:r>
          </w:p>
        </w:tc>
        <w:tc>
          <w:tcPr>
            <w:tcW w:w="1559" w:type="dxa"/>
            <w:shd w:val="clear" w:color="auto" w:fill="auto"/>
            <w:hideMark/>
          </w:tcPr>
          <w:p w14:paraId="7C783D36" w14:textId="77777777" w:rsidR="00780B1D" w:rsidRPr="00F578EE" w:rsidRDefault="00780B1D" w:rsidP="005368DB">
            <w:pPr>
              <w:rPr>
                <w:sz w:val="16"/>
                <w:szCs w:val="16"/>
              </w:rPr>
            </w:pPr>
            <w:r>
              <w:rPr>
                <w:sz w:val="16"/>
                <w:szCs w:val="16"/>
                <w:lang w:val="it"/>
              </w:rPr>
              <w:t>http://www.cmvm.pt/cmvm/Pages/default.aspx</w:t>
            </w:r>
          </w:p>
        </w:tc>
        <w:tc>
          <w:tcPr>
            <w:tcW w:w="1134" w:type="dxa"/>
            <w:shd w:val="clear" w:color="auto" w:fill="auto"/>
            <w:hideMark/>
          </w:tcPr>
          <w:p w14:paraId="2BD12865" w14:textId="77777777" w:rsidR="00780B1D" w:rsidRPr="00F578EE" w:rsidRDefault="00780B1D" w:rsidP="005368DB">
            <w:pPr>
              <w:rPr>
                <w:sz w:val="16"/>
                <w:szCs w:val="16"/>
              </w:rPr>
            </w:pPr>
            <w:r>
              <w:rPr>
                <w:sz w:val="16"/>
                <w:szCs w:val="16"/>
                <w:lang w:val="it"/>
              </w:rPr>
              <w:t>Portoghese</w:t>
            </w:r>
          </w:p>
        </w:tc>
      </w:tr>
      <w:tr w:rsidR="00780B1D" w:rsidRPr="00F578EE" w14:paraId="75475796" w14:textId="77777777" w:rsidTr="42B411E3">
        <w:trPr>
          <w:trHeight w:val="570"/>
        </w:trPr>
        <w:tc>
          <w:tcPr>
            <w:tcW w:w="851" w:type="dxa"/>
            <w:vMerge/>
          </w:tcPr>
          <w:p w14:paraId="4BA42F16" w14:textId="77777777" w:rsidR="00780B1D" w:rsidRPr="00F578EE" w:rsidRDefault="00780B1D" w:rsidP="005368DB">
            <w:pPr>
              <w:rPr>
                <w:sz w:val="16"/>
                <w:szCs w:val="16"/>
              </w:rPr>
            </w:pPr>
          </w:p>
        </w:tc>
        <w:tc>
          <w:tcPr>
            <w:tcW w:w="2126" w:type="dxa"/>
          </w:tcPr>
          <w:p w14:paraId="3726ED1E" w14:textId="1C0623D4" w:rsidR="00780B1D" w:rsidRPr="00A11B81" w:rsidRDefault="00780B1D" w:rsidP="005368DB">
            <w:pPr>
              <w:rPr>
                <w:sz w:val="16"/>
                <w:szCs w:val="16"/>
                <w:lang w:val="fr-FR"/>
              </w:rPr>
            </w:pPr>
            <w:r>
              <w:rPr>
                <w:sz w:val="16"/>
                <w:szCs w:val="16"/>
                <w:lang w:val="it"/>
              </w:rPr>
              <w:t>Centro arbitrale di Lisbona per le controversie dei consumatori</w:t>
            </w:r>
          </w:p>
        </w:tc>
        <w:tc>
          <w:tcPr>
            <w:tcW w:w="2126" w:type="dxa"/>
            <w:shd w:val="clear" w:color="auto" w:fill="auto"/>
          </w:tcPr>
          <w:p w14:paraId="74AF3C0D" w14:textId="4544359C" w:rsidR="005368DB" w:rsidRPr="00A11B81" w:rsidRDefault="00780B1D" w:rsidP="007A4E0C">
            <w:pPr>
              <w:rPr>
                <w:sz w:val="16"/>
                <w:szCs w:val="16"/>
                <w:lang w:val="fr-FR"/>
              </w:rPr>
            </w:pPr>
            <w:r>
              <w:rPr>
                <w:sz w:val="16"/>
                <w:szCs w:val="16"/>
                <w:lang w:val="it"/>
              </w:rPr>
              <w:t>Banche, istituti di credito ipotecario, intermediari di mutui ipotecari, cooperative di credito, compagnie di assicurazione, intermediari assicurativi, alcune banche di investimento, alcuni intermediari di investimento</w:t>
            </w:r>
          </w:p>
        </w:tc>
        <w:tc>
          <w:tcPr>
            <w:tcW w:w="1843" w:type="dxa"/>
            <w:shd w:val="clear" w:color="auto" w:fill="auto"/>
          </w:tcPr>
          <w:p w14:paraId="661C367C" w14:textId="0793961C" w:rsidR="00780B1D" w:rsidRPr="00F578EE" w:rsidRDefault="00780B1D" w:rsidP="005368DB">
            <w:pPr>
              <w:rPr>
                <w:sz w:val="16"/>
                <w:szCs w:val="16"/>
              </w:rPr>
            </w:pPr>
            <w:r>
              <w:rPr>
                <w:sz w:val="16"/>
                <w:szCs w:val="16"/>
                <w:lang w:val="it"/>
              </w:rPr>
              <w:t>director@centroarbitragemlisboa.pt</w:t>
            </w:r>
          </w:p>
        </w:tc>
        <w:tc>
          <w:tcPr>
            <w:tcW w:w="1559" w:type="dxa"/>
            <w:shd w:val="clear" w:color="auto" w:fill="auto"/>
          </w:tcPr>
          <w:p w14:paraId="63631859" w14:textId="4C732123" w:rsidR="00780B1D" w:rsidRPr="00F578EE" w:rsidRDefault="00780B1D" w:rsidP="005368DB">
            <w:pPr>
              <w:rPr>
                <w:sz w:val="16"/>
                <w:szCs w:val="16"/>
              </w:rPr>
            </w:pPr>
            <w:r>
              <w:rPr>
                <w:sz w:val="16"/>
                <w:szCs w:val="16"/>
                <w:lang w:val="it"/>
              </w:rPr>
              <w:t>http://www.centroarbitragemlisboa.pt/</w:t>
            </w:r>
          </w:p>
        </w:tc>
        <w:tc>
          <w:tcPr>
            <w:tcW w:w="1134" w:type="dxa"/>
            <w:shd w:val="clear" w:color="auto" w:fill="auto"/>
          </w:tcPr>
          <w:p w14:paraId="6BAA09D0" w14:textId="4B0CD483" w:rsidR="00780B1D" w:rsidRPr="00F578EE" w:rsidRDefault="00780B1D" w:rsidP="005368DB">
            <w:pPr>
              <w:rPr>
                <w:sz w:val="16"/>
                <w:szCs w:val="16"/>
              </w:rPr>
            </w:pPr>
            <w:r>
              <w:rPr>
                <w:sz w:val="16"/>
                <w:szCs w:val="16"/>
                <w:lang w:val="it"/>
              </w:rPr>
              <w:t>Portoghese, inglese, spagnolo, francese</w:t>
            </w:r>
          </w:p>
        </w:tc>
      </w:tr>
      <w:tr w:rsidR="00780B1D" w:rsidRPr="00F578EE" w14:paraId="0F0D8103" w14:textId="77777777" w:rsidTr="42B411E3">
        <w:trPr>
          <w:trHeight w:val="570"/>
        </w:trPr>
        <w:tc>
          <w:tcPr>
            <w:tcW w:w="851" w:type="dxa"/>
            <w:vMerge w:val="restart"/>
            <w:shd w:val="clear" w:color="auto" w:fill="auto"/>
            <w:hideMark/>
          </w:tcPr>
          <w:p w14:paraId="471AC353" w14:textId="31B816E7" w:rsidR="00780B1D" w:rsidRPr="00F578EE" w:rsidRDefault="00780B1D" w:rsidP="005368DB">
            <w:pPr>
              <w:rPr>
                <w:sz w:val="16"/>
                <w:szCs w:val="16"/>
              </w:rPr>
            </w:pPr>
            <w:r>
              <w:rPr>
                <w:sz w:val="16"/>
                <w:szCs w:val="16"/>
                <w:lang w:val="it"/>
              </w:rPr>
              <w:t>SK</w:t>
            </w:r>
          </w:p>
        </w:tc>
        <w:tc>
          <w:tcPr>
            <w:tcW w:w="2126" w:type="dxa"/>
          </w:tcPr>
          <w:p w14:paraId="5EA24D44" w14:textId="329934D0" w:rsidR="00780B1D" w:rsidRPr="00F578EE" w:rsidRDefault="00780B1D" w:rsidP="005368DB">
            <w:pPr>
              <w:rPr>
                <w:sz w:val="16"/>
                <w:szCs w:val="16"/>
              </w:rPr>
            </w:pPr>
            <w:r>
              <w:rPr>
                <w:sz w:val="16"/>
                <w:szCs w:val="16"/>
                <w:lang w:val="it"/>
              </w:rPr>
              <w:t>Slovak banking association (SBA)</w:t>
            </w:r>
          </w:p>
        </w:tc>
        <w:tc>
          <w:tcPr>
            <w:tcW w:w="2126" w:type="dxa"/>
            <w:shd w:val="clear" w:color="auto" w:fill="auto"/>
          </w:tcPr>
          <w:p w14:paraId="57E2D846" w14:textId="21015D59" w:rsidR="00F578EE" w:rsidRPr="00A11B81" w:rsidRDefault="00780B1D" w:rsidP="007A4E0C">
            <w:pPr>
              <w:rPr>
                <w:sz w:val="16"/>
                <w:szCs w:val="16"/>
                <w:lang w:val="fr-FR"/>
              </w:rPr>
            </w:pPr>
            <w:r>
              <w:rPr>
                <w:sz w:val="16"/>
                <w:szCs w:val="16"/>
                <w:lang w:val="it"/>
              </w:rPr>
              <w:t>La maggior parte delle banche, degli istituti di credito ipotecario e dei fornitori di servizi di pagamento</w:t>
            </w:r>
          </w:p>
        </w:tc>
        <w:tc>
          <w:tcPr>
            <w:tcW w:w="1843" w:type="dxa"/>
            <w:shd w:val="clear" w:color="auto" w:fill="auto"/>
            <w:hideMark/>
          </w:tcPr>
          <w:p w14:paraId="492C6B2F" w14:textId="77777777" w:rsidR="00780B1D" w:rsidRPr="00F578EE" w:rsidRDefault="00780B1D" w:rsidP="005368DB">
            <w:pPr>
              <w:rPr>
                <w:sz w:val="16"/>
                <w:szCs w:val="16"/>
              </w:rPr>
            </w:pPr>
            <w:r>
              <w:rPr>
                <w:sz w:val="16"/>
                <w:szCs w:val="16"/>
                <w:lang w:val="it"/>
              </w:rPr>
              <w:t>institutars@sbaonline.sk</w:t>
            </w:r>
          </w:p>
        </w:tc>
        <w:tc>
          <w:tcPr>
            <w:tcW w:w="1559" w:type="dxa"/>
            <w:shd w:val="clear" w:color="auto" w:fill="auto"/>
            <w:hideMark/>
          </w:tcPr>
          <w:p w14:paraId="4818C70F" w14:textId="77777777" w:rsidR="00780B1D" w:rsidRPr="00F578EE" w:rsidRDefault="00780B1D" w:rsidP="005368DB">
            <w:pPr>
              <w:rPr>
                <w:sz w:val="16"/>
                <w:szCs w:val="16"/>
              </w:rPr>
            </w:pPr>
            <w:r>
              <w:rPr>
                <w:sz w:val="16"/>
                <w:szCs w:val="16"/>
                <w:lang w:val="it"/>
              </w:rPr>
              <w:t>http://www.institutars.sk/</w:t>
            </w:r>
          </w:p>
        </w:tc>
        <w:tc>
          <w:tcPr>
            <w:tcW w:w="1134" w:type="dxa"/>
            <w:shd w:val="clear" w:color="auto" w:fill="auto"/>
            <w:hideMark/>
          </w:tcPr>
          <w:p w14:paraId="7999743F" w14:textId="77777777" w:rsidR="00780B1D" w:rsidRPr="00F578EE" w:rsidRDefault="00780B1D" w:rsidP="005368DB">
            <w:pPr>
              <w:rPr>
                <w:sz w:val="16"/>
                <w:szCs w:val="16"/>
              </w:rPr>
            </w:pPr>
            <w:r>
              <w:rPr>
                <w:sz w:val="16"/>
                <w:szCs w:val="16"/>
                <w:lang w:val="it"/>
              </w:rPr>
              <w:t>Slovacco, inglese, ceco</w:t>
            </w:r>
          </w:p>
        </w:tc>
      </w:tr>
      <w:tr w:rsidR="00780B1D" w:rsidRPr="00F578EE" w14:paraId="10C4431D" w14:textId="77777777" w:rsidTr="42B411E3">
        <w:trPr>
          <w:trHeight w:val="570"/>
        </w:trPr>
        <w:tc>
          <w:tcPr>
            <w:tcW w:w="851" w:type="dxa"/>
            <w:vMerge/>
          </w:tcPr>
          <w:p w14:paraId="0DB1B31B" w14:textId="77777777" w:rsidR="00780B1D" w:rsidRPr="00F578EE" w:rsidRDefault="00780B1D" w:rsidP="005368DB">
            <w:pPr>
              <w:rPr>
                <w:sz w:val="16"/>
                <w:szCs w:val="16"/>
              </w:rPr>
            </w:pPr>
          </w:p>
        </w:tc>
        <w:tc>
          <w:tcPr>
            <w:tcW w:w="2126" w:type="dxa"/>
          </w:tcPr>
          <w:p w14:paraId="7263303C" w14:textId="3A8BDD44" w:rsidR="00780B1D" w:rsidRPr="00F578EE" w:rsidRDefault="00780B1D" w:rsidP="005368DB">
            <w:pPr>
              <w:rPr>
                <w:sz w:val="16"/>
                <w:szCs w:val="16"/>
              </w:rPr>
            </w:pPr>
            <w:r>
              <w:rPr>
                <w:sz w:val="16"/>
                <w:szCs w:val="16"/>
                <w:lang w:val="it"/>
              </w:rPr>
              <w:t>Slovak insurance association</w:t>
            </w:r>
          </w:p>
        </w:tc>
        <w:tc>
          <w:tcPr>
            <w:tcW w:w="2126" w:type="dxa"/>
            <w:shd w:val="clear" w:color="auto" w:fill="auto"/>
          </w:tcPr>
          <w:p w14:paraId="7530C2FC" w14:textId="71FE79F0" w:rsidR="00780B1D" w:rsidRPr="00A11B81" w:rsidRDefault="00780B1D" w:rsidP="005368DB">
            <w:pPr>
              <w:rPr>
                <w:sz w:val="16"/>
                <w:szCs w:val="16"/>
                <w:lang w:val="fr-FR"/>
              </w:rPr>
            </w:pPr>
            <w:r>
              <w:rPr>
                <w:sz w:val="16"/>
                <w:szCs w:val="16"/>
                <w:lang w:val="it"/>
              </w:rPr>
              <w:t>La maggior parte delle compagnie di assicurazione</w:t>
            </w:r>
          </w:p>
        </w:tc>
        <w:tc>
          <w:tcPr>
            <w:tcW w:w="1843" w:type="dxa"/>
            <w:shd w:val="clear" w:color="auto" w:fill="auto"/>
          </w:tcPr>
          <w:p w14:paraId="44E0EE27" w14:textId="49E4CE48" w:rsidR="00780B1D" w:rsidRPr="00F578EE" w:rsidRDefault="00780B1D" w:rsidP="005368DB">
            <w:pPr>
              <w:rPr>
                <w:sz w:val="16"/>
                <w:szCs w:val="16"/>
              </w:rPr>
            </w:pPr>
            <w:r>
              <w:rPr>
                <w:sz w:val="16"/>
                <w:szCs w:val="16"/>
                <w:lang w:val="it"/>
              </w:rPr>
              <w:t>ombudsman@poistovaciombudsman.sk</w:t>
            </w:r>
          </w:p>
        </w:tc>
        <w:tc>
          <w:tcPr>
            <w:tcW w:w="1559" w:type="dxa"/>
            <w:shd w:val="clear" w:color="auto" w:fill="auto"/>
          </w:tcPr>
          <w:p w14:paraId="041D19D9" w14:textId="5619A8AF" w:rsidR="00780B1D" w:rsidRPr="00F578EE" w:rsidRDefault="00780B1D" w:rsidP="005368DB">
            <w:pPr>
              <w:rPr>
                <w:sz w:val="16"/>
                <w:szCs w:val="16"/>
              </w:rPr>
            </w:pPr>
            <w:r>
              <w:rPr>
                <w:sz w:val="16"/>
                <w:szCs w:val="16"/>
                <w:lang w:val="it"/>
              </w:rPr>
              <w:t>http://www.poistovaciombudsman.sk/</w:t>
            </w:r>
          </w:p>
        </w:tc>
        <w:tc>
          <w:tcPr>
            <w:tcW w:w="1134" w:type="dxa"/>
            <w:shd w:val="clear" w:color="auto" w:fill="auto"/>
          </w:tcPr>
          <w:p w14:paraId="6B755ED7" w14:textId="64E60CA6" w:rsidR="00780B1D" w:rsidRPr="00F578EE" w:rsidRDefault="00780B1D" w:rsidP="005368DB">
            <w:pPr>
              <w:rPr>
                <w:sz w:val="16"/>
                <w:szCs w:val="16"/>
              </w:rPr>
            </w:pPr>
            <w:r>
              <w:rPr>
                <w:sz w:val="16"/>
                <w:szCs w:val="16"/>
                <w:lang w:val="it"/>
              </w:rPr>
              <w:t>Slovacco e inglese</w:t>
            </w:r>
          </w:p>
        </w:tc>
      </w:tr>
      <w:tr w:rsidR="00780B1D" w:rsidRPr="00F578EE" w14:paraId="65600A26" w14:textId="77777777" w:rsidTr="42B411E3">
        <w:trPr>
          <w:trHeight w:val="570"/>
        </w:trPr>
        <w:tc>
          <w:tcPr>
            <w:tcW w:w="851" w:type="dxa"/>
            <w:vMerge w:val="restart"/>
            <w:shd w:val="clear" w:color="auto" w:fill="auto"/>
            <w:hideMark/>
          </w:tcPr>
          <w:p w14:paraId="6B878A41" w14:textId="0A9EF0D3" w:rsidR="00780B1D" w:rsidRPr="00F578EE" w:rsidRDefault="00780B1D" w:rsidP="005368DB">
            <w:pPr>
              <w:rPr>
                <w:sz w:val="16"/>
                <w:szCs w:val="16"/>
              </w:rPr>
            </w:pPr>
            <w:r>
              <w:rPr>
                <w:sz w:val="16"/>
                <w:szCs w:val="16"/>
                <w:lang w:val="it"/>
              </w:rPr>
              <w:t>ES</w:t>
            </w:r>
          </w:p>
        </w:tc>
        <w:tc>
          <w:tcPr>
            <w:tcW w:w="2126" w:type="dxa"/>
          </w:tcPr>
          <w:p w14:paraId="0BB939AC" w14:textId="22B43B0B" w:rsidR="00780B1D" w:rsidRPr="00A11B81" w:rsidRDefault="00780B1D" w:rsidP="005368DB">
            <w:pPr>
              <w:rPr>
                <w:sz w:val="16"/>
                <w:szCs w:val="16"/>
                <w:lang w:val="fr-FR"/>
              </w:rPr>
            </w:pPr>
            <w:r>
              <w:rPr>
                <w:sz w:val="16"/>
                <w:szCs w:val="16"/>
                <w:lang w:val="it"/>
              </w:rPr>
              <w:t>Ufficio di assistenza agli investitori - Divisione Investitori della CNMV</w:t>
            </w:r>
          </w:p>
        </w:tc>
        <w:tc>
          <w:tcPr>
            <w:tcW w:w="2126" w:type="dxa"/>
            <w:shd w:val="clear" w:color="auto" w:fill="auto"/>
          </w:tcPr>
          <w:p w14:paraId="78A1FAFF" w14:textId="77777777" w:rsidR="00780B1D" w:rsidRPr="00F578EE" w:rsidRDefault="00780B1D" w:rsidP="005368DB">
            <w:pPr>
              <w:rPr>
                <w:sz w:val="16"/>
                <w:szCs w:val="16"/>
              </w:rPr>
            </w:pPr>
            <w:r>
              <w:rPr>
                <w:sz w:val="16"/>
                <w:szCs w:val="16"/>
                <w:lang w:val="it"/>
              </w:rPr>
              <w:t>Banche, banche di investimento, intermediari di investimento, intermediari mobiliari</w:t>
            </w:r>
          </w:p>
          <w:p w14:paraId="0C853670" w14:textId="37C76CB4" w:rsidR="005368DB" w:rsidRPr="00F578EE" w:rsidRDefault="005368DB" w:rsidP="005368DB">
            <w:pPr>
              <w:rPr>
                <w:sz w:val="16"/>
                <w:szCs w:val="16"/>
              </w:rPr>
            </w:pPr>
          </w:p>
        </w:tc>
        <w:tc>
          <w:tcPr>
            <w:tcW w:w="1843" w:type="dxa"/>
            <w:shd w:val="clear" w:color="auto" w:fill="auto"/>
            <w:hideMark/>
          </w:tcPr>
          <w:p w14:paraId="472BE246" w14:textId="77777777" w:rsidR="00780B1D" w:rsidRPr="00F578EE" w:rsidRDefault="00780B1D" w:rsidP="005368DB">
            <w:pPr>
              <w:rPr>
                <w:sz w:val="16"/>
                <w:szCs w:val="16"/>
              </w:rPr>
            </w:pPr>
            <w:r>
              <w:rPr>
                <w:sz w:val="16"/>
                <w:szCs w:val="16"/>
                <w:lang w:val="it"/>
              </w:rPr>
              <w:t>ServiciodereclamacionesCNMV@cnmv.es</w:t>
            </w:r>
          </w:p>
        </w:tc>
        <w:tc>
          <w:tcPr>
            <w:tcW w:w="1559" w:type="dxa"/>
            <w:shd w:val="clear" w:color="auto" w:fill="auto"/>
            <w:hideMark/>
          </w:tcPr>
          <w:p w14:paraId="7994851F" w14:textId="77777777" w:rsidR="00780B1D" w:rsidRPr="00F578EE" w:rsidRDefault="00780B1D" w:rsidP="005368DB">
            <w:pPr>
              <w:rPr>
                <w:sz w:val="16"/>
                <w:szCs w:val="16"/>
              </w:rPr>
            </w:pPr>
            <w:r>
              <w:rPr>
                <w:sz w:val="16"/>
                <w:szCs w:val="16"/>
                <w:lang w:val="it"/>
              </w:rPr>
              <w:t>http://www.cnmv.es/portal/Inversor/Indice.aspx</w:t>
            </w:r>
          </w:p>
        </w:tc>
        <w:tc>
          <w:tcPr>
            <w:tcW w:w="1134" w:type="dxa"/>
            <w:shd w:val="clear" w:color="auto" w:fill="auto"/>
            <w:hideMark/>
          </w:tcPr>
          <w:p w14:paraId="51C3F377" w14:textId="77777777" w:rsidR="00780B1D" w:rsidRPr="00F578EE" w:rsidRDefault="00780B1D" w:rsidP="005368DB">
            <w:pPr>
              <w:rPr>
                <w:sz w:val="16"/>
                <w:szCs w:val="16"/>
              </w:rPr>
            </w:pPr>
            <w:r>
              <w:rPr>
                <w:sz w:val="16"/>
                <w:szCs w:val="16"/>
                <w:lang w:val="it"/>
              </w:rPr>
              <w:t>Spagnolo e inglese</w:t>
            </w:r>
          </w:p>
        </w:tc>
      </w:tr>
      <w:tr w:rsidR="00780B1D" w:rsidRPr="00F578EE" w14:paraId="085C6491" w14:textId="77777777" w:rsidTr="42B411E3">
        <w:trPr>
          <w:trHeight w:val="570"/>
        </w:trPr>
        <w:tc>
          <w:tcPr>
            <w:tcW w:w="851" w:type="dxa"/>
            <w:vMerge/>
          </w:tcPr>
          <w:p w14:paraId="74E36E51" w14:textId="77777777" w:rsidR="00780B1D" w:rsidRPr="00F578EE" w:rsidRDefault="00780B1D" w:rsidP="005368DB">
            <w:pPr>
              <w:rPr>
                <w:sz w:val="16"/>
                <w:szCs w:val="16"/>
              </w:rPr>
            </w:pPr>
          </w:p>
        </w:tc>
        <w:tc>
          <w:tcPr>
            <w:tcW w:w="2126" w:type="dxa"/>
          </w:tcPr>
          <w:p w14:paraId="268ADD3A" w14:textId="7749D774" w:rsidR="00780B1D" w:rsidRPr="00F578EE" w:rsidRDefault="00780B1D" w:rsidP="005368DB">
            <w:pPr>
              <w:rPr>
                <w:sz w:val="16"/>
                <w:szCs w:val="16"/>
              </w:rPr>
            </w:pPr>
            <w:r>
              <w:rPr>
                <w:sz w:val="16"/>
                <w:szCs w:val="16"/>
                <w:lang w:val="it"/>
              </w:rPr>
              <w:t>Servizio reclami della Direzione generale delle assicurazioni e dei fondi pensione (DGSFP)</w:t>
            </w:r>
          </w:p>
        </w:tc>
        <w:tc>
          <w:tcPr>
            <w:tcW w:w="2126" w:type="dxa"/>
            <w:shd w:val="clear" w:color="auto" w:fill="auto"/>
          </w:tcPr>
          <w:p w14:paraId="540C21A5" w14:textId="64C97E5B" w:rsidR="00F578EE" w:rsidRPr="00A11B81" w:rsidRDefault="00780B1D" w:rsidP="007A4E0C">
            <w:pPr>
              <w:rPr>
                <w:sz w:val="16"/>
                <w:szCs w:val="16"/>
                <w:lang w:val="fr-FR"/>
              </w:rPr>
            </w:pPr>
            <w:r>
              <w:rPr>
                <w:sz w:val="16"/>
                <w:szCs w:val="16"/>
                <w:lang w:val="it"/>
              </w:rPr>
              <w:t>Compagnie di assicurazione, intermediari assicurativi, fornitori di fondi pensione, intermediari di fondi pensione</w:t>
            </w:r>
          </w:p>
        </w:tc>
        <w:tc>
          <w:tcPr>
            <w:tcW w:w="1843" w:type="dxa"/>
            <w:shd w:val="clear" w:color="auto" w:fill="auto"/>
          </w:tcPr>
          <w:p w14:paraId="1DD38B54" w14:textId="606918A7" w:rsidR="00780B1D" w:rsidRPr="00F578EE" w:rsidRDefault="00780B1D" w:rsidP="005368DB">
            <w:pPr>
              <w:rPr>
                <w:sz w:val="16"/>
                <w:szCs w:val="16"/>
              </w:rPr>
            </w:pPr>
            <w:r>
              <w:rPr>
                <w:sz w:val="16"/>
                <w:szCs w:val="16"/>
                <w:lang w:val="it"/>
              </w:rPr>
              <w:t>reclamaciones.seguros@mineco.es</w:t>
            </w:r>
          </w:p>
        </w:tc>
        <w:tc>
          <w:tcPr>
            <w:tcW w:w="1559" w:type="dxa"/>
            <w:shd w:val="clear" w:color="auto" w:fill="auto"/>
          </w:tcPr>
          <w:p w14:paraId="5794DD5F" w14:textId="7B68A6AE" w:rsidR="00780B1D" w:rsidRPr="00F578EE" w:rsidRDefault="00780B1D" w:rsidP="005368DB">
            <w:pPr>
              <w:rPr>
                <w:sz w:val="16"/>
                <w:szCs w:val="16"/>
              </w:rPr>
            </w:pPr>
            <w:r>
              <w:rPr>
                <w:sz w:val="16"/>
                <w:szCs w:val="16"/>
                <w:lang w:val="it"/>
              </w:rPr>
              <w:t>http://www.dgsfp.mineco.es/reclamaciones/index.asp</w:t>
            </w:r>
          </w:p>
        </w:tc>
        <w:tc>
          <w:tcPr>
            <w:tcW w:w="1134" w:type="dxa"/>
            <w:shd w:val="clear" w:color="auto" w:fill="auto"/>
          </w:tcPr>
          <w:p w14:paraId="04FD66C6" w14:textId="269DD300" w:rsidR="00780B1D" w:rsidRPr="00F578EE" w:rsidRDefault="00780B1D" w:rsidP="005368DB">
            <w:pPr>
              <w:rPr>
                <w:sz w:val="16"/>
                <w:szCs w:val="16"/>
              </w:rPr>
            </w:pPr>
            <w:r>
              <w:rPr>
                <w:sz w:val="16"/>
                <w:szCs w:val="16"/>
                <w:lang w:val="it"/>
              </w:rPr>
              <w:t>Spagnolo</w:t>
            </w:r>
          </w:p>
        </w:tc>
      </w:tr>
      <w:tr w:rsidR="00780B1D" w:rsidRPr="00F578EE" w14:paraId="5139D15E" w14:textId="77777777" w:rsidTr="42B411E3">
        <w:trPr>
          <w:trHeight w:val="570"/>
        </w:trPr>
        <w:tc>
          <w:tcPr>
            <w:tcW w:w="851" w:type="dxa"/>
            <w:vMerge/>
          </w:tcPr>
          <w:p w14:paraId="0B0468CE" w14:textId="77777777" w:rsidR="00780B1D" w:rsidRPr="00F578EE" w:rsidRDefault="00780B1D" w:rsidP="005368DB">
            <w:pPr>
              <w:rPr>
                <w:sz w:val="16"/>
                <w:szCs w:val="16"/>
              </w:rPr>
            </w:pPr>
          </w:p>
        </w:tc>
        <w:tc>
          <w:tcPr>
            <w:tcW w:w="2126" w:type="dxa"/>
          </w:tcPr>
          <w:p w14:paraId="4A5FC07D" w14:textId="66DB81C3" w:rsidR="00780B1D" w:rsidRPr="00A11B81" w:rsidRDefault="00780B1D" w:rsidP="005368DB">
            <w:pPr>
              <w:rPr>
                <w:sz w:val="16"/>
                <w:szCs w:val="16"/>
                <w:lang w:val="fr-FR"/>
              </w:rPr>
            </w:pPr>
            <w:r>
              <w:rPr>
                <w:sz w:val="16"/>
                <w:szCs w:val="16"/>
                <w:lang w:val="it"/>
              </w:rPr>
              <w:t>Departamento de Conducta de Entidades (Banco de España)</w:t>
            </w:r>
          </w:p>
        </w:tc>
        <w:tc>
          <w:tcPr>
            <w:tcW w:w="2126" w:type="dxa"/>
            <w:shd w:val="clear" w:color="auto" w:fill="auto"/>
          </w:tcPr>
          <w:p w14:paraId="43354F00" w14:textId="3031E61C" w:rsidR="00780B1D" w:rsidRPr="00A11B81" w:rsidRDefault="00780B1D" w:rsidP="005368DB">
            <w:pPr>
              <w:rPr>
                <w:sz w:val="16"/>
                <w:szCs w:val="16"/>
                <w:lang w:val="fr-FR"/>
              </w:rPr>
            </w:pPr>
            <w:r>
              <w:rPr>
                <w:sz w:val="16"/>
                <w:szCs w:val="16"/>
                <w:lang w:val="it"/>
              </w:rPr>
              <w:t>Banche, casse di risparmio, cooperative di credito, istituti di pagamento e altre entità</w:t>
            </w:r>
          </w:p>
        </w:tc>
        <w:tc>
          <w:tcPr>
            <w:tcW w:w="1843" w:type="dxa"/>
            <w:shd w:val="clear" w:color="auto" w:fill="auto"/>
          </w:tcPr>
          <w:p w14:paraId="67FF2C7B" w14:textId="554C9A3A" w:rsidR="00780B1D" w:rsidRPr="00F578EE" w:rsidRDefault="00780B1D" w:rsidP="005368DB">
            <w:pPr>
              <w:rPr>
                <w:sz w:val="16"/>
                <w:szCs w:val="16"/>
              </w:rPr>
            </w:pPr>
            <w:r>
              <w:rPr>
                <w:sz w:val="16"/>
                <w:szCs w:val="16"/>
                <w:lang w:val="it"/>
              </w:rPr>
              <w:t>conducta.entidades@bde.es</w:t>
            </w:r>
          </w:p>
        </w:tc>
        <w:tc>
          <w:tcPr>
            <w:tcW w:w="1559" w:type="dxa"/>
            <w:shd w:val="clear" w:color="auto" w:fill="auto"/>
          </w:tcPr>
          <w:p w14:paraId="435A4BDE" w14:textId="4C66F593" w:rsidR="00F578EE" w:rsidRPr="00F578EE" w:rsidRDefault="00000000" w:rsidP="007A4E0C">
            <w:pPr>
              <w:rPr>
                <w:sz w:val="16"/>
                <w:szCs w:val="16"/>
              </w:rPr>
            </w:pPr>
            <w:hyperlink r:id="rId20" w:history="1">
              <w:r w:rsidR="00F578EE">
                <w:rPr>
                  <w:rStyle w:val="Hyperlink"/>
                  <w:color w:val="auto"/>
                  <w:sz w:val="16"/>
                  <w:szCs w:val="16"/>
                  <w:lang w:val="it"/>
                </w:rPr>
                <w:t>http://www.bde.es/bde/es/secciones/servicios/Particulares_y_e/Servicio_de_Recl/</w:t>
              </w:r>
            </w:hyperlink>
          </w:p>
        </w:tc>
        <w:tc>
          <w:tcPr>
            <w:tcW w:w="1134" w:type="dxa"/>
            <w:shd w:val="clear" w:color="auto" w:fill="auto"/>
          </w:tcPr>
          <w:p w14:paraId="7A1D4DAD" w14:textId="50005E92" w:rsidR="00780B1D" w:rsidRPr="00F578EE" w:rsidRDefault="00780B1D" w:rsidP="005368DB">
            <w:pPr>
              <w:rPr>
                <w:sz w:val="16"/>
                <w:szCs w:val="16"/>
              </w:rPr>
            </w:pPr>
            <w:r>
              <w:rPr>
                <w:sz w:val="16"/>
                <w:szCs w:val="16"/>
                <w:lang w:val="it"/>
              </w:rPr>
              <w:t>Spagnolo e inglese</w:t>
            </w:r>
          </w:p>
        </w:tc>
      </w:tr>
    </w:tbl>
    <w:p w14:paraId="532FB0C7" w14:textId="74E3763F" w:rsidR="00644FEA" w:rsidRPr="00AF41B0" w:rsidRDefault="00644FEA" w:rsidP="00386190">
      <w:pPr>
        <w:widowControl/>
        <w:autoSpaceDE/>
        <w:autoSpaceDN/>
        <w:spacing w:after="160" w:line="259" w:lineRule="auto"/>
        <w:jc w:val="both"/>
        <w:rPr>
          <w:rFonts w:eastAsia="Calibri" w:cs="Calibri"/>
          <w:sz w:val="18"/>
          <w:szCs w:val="18"/>
        </w:rPr>
      </w:pPr>
    </w:p>
    <w:p w14:paraId="4766D6DF" w14:textId="637BDD3B" w:rsidR="00276403" w:rsidRPr="00AF41B0" w:rsidRDefault="00993A15" w:rsidP="00AF41B0">
      <w:pPr>
        <w:widowControl/>
        <w:autoSpaceDE/>
        <w:autoSpaceDN/>
        <w:spacing w:after="160" w:line="259" w:lineRule="auto"/>
        <w:jc w:val="both"/>
        <w:rPr>
          <w:rFonts w:eastAsia="Calibri" w:cs="Calibri"/>
          <w:sz w:val="18"/>
          <w:szCs w:val="18"/>
        </w:rPr>
      </w:pPr>
      <w:bookmarkStart w:id="4" w:name="_Hlk87952553"/>
      <w:r>
        <w:rPr>
          <w:rFonts w:eastAsia="Calibri" w:cs="Calibri"/>
          <w:sz w:val="18"/>
          <w:szCs w:val="18"/>
          <w:lang w:val="it"/>
        </w:rPr>
        <w:t>4) Coordinamento con FIN-NET</w:t>
      </w:r>
    </w:p>
    <w:bookmarkEnd w:id="4"/>
    <w:p w14:paraId="66188880" w14:textId="6BE22935" w:rsidR="00E753A5" w:rsidRPr="00AF41B0" w:rsidRDefault="00993A15" w:rsidP="00276403">
      <w:pPr>
        <w:widowControl/>
        <w:autoSpaceDE/>
        <w:autoSpaceDN/>
        <w:spacing w:after="160" w:line="259" w:lineRule="auto"/>
        <w:jc w:val="both"/>
        <w:rPr>
          <w:rFonts w:eastAsia="Calibri" w:cs="Calibri"/>
          <w:sz w:val="18"/>
          <w:szCs w:val="18"/>
        </w:rPr>
      </w:pPr>
      <w:r>
        <w:rPr>
          <w:rFonts w:eastAsia="Calibri" w:cs="Calibri"/>
          <w:sz w:val="18"/>
          <w:szCs w:val="18"/>
          <w:lang w:val="it"/>
        </w:rPr>
        <w:t>Se intendete presentare un reclamo transfrontaliero relativo a un fornitore di servizi finanziari, come una banca, una compagnia assicurativa, una società di investimento con sede in un paese dell’UE/SEE diverso dal vostro, potete scegliere di:</w:t>
      </w:r>
    </w:p>
    <w:p w14:paraId="35399319" w14:textId="4396D98B" w:rsidR="00E753A5" w:rsidRPr="00AF41B0" w:rsidRDefault="00E753A5" w:rsidP="00E753A5">
      <w:pPr>
        <w:pStyle w:val="ListParagraph"/>
        <w:widowControl/>
        <w:numPr>
          <w:ilvl w:val="0"/>
          <w:numId w:val="10"/>
        </w:numPr>
        <w:autoSpaceDE/>
        <w:autoSpaceDN/>
        <w:spacing w:after="160" w:line="259" w:lineRule="auto"/>
        <w:jc w:val="both"/>
        <w:rPr>
          <w:rFonts w:eastAsia="Calibri" w:cs="Calibri"/>
          <w:sz w:val="18"/>
          <w:szCs w:val="18"/>
        </w:rPr>
      </w:pPr>
      <w:r>
        <w:rPr>
          <w:rFonts w:eastAsia="Calibri" w:cs="Calibri"/>
          <w:sz w:val="18"/>
          <w:szCs w:val="18"/>
          <w:lang w:val="it"/>
        </w:rPr>
        <w:t xml:space="preserve">Contattare l’Ombudsman locale di tale paese (fare riferimento alla tabella precedente) o </w:t>
      </w:r>
    </w:p>
    <w:p w14:paraId="551114EC" w14:textId="51664DA8" w:rsidR="004B48CB" w:rsidRPr="00AF41B0" w:rsidRDefault="00E753A5" w:rsidP="00AF41B0">
      <w:pPr>
        <w:pStyle w:val="ListParagraph"/>
        <w:widowControl/>
        <w:numPr>
          <w:ilvl w:val="0"/>
          <w:numId w:val="10"/>
        </w:numPr>
        <w:autoSpaceDE/>
        <w:autoSpaceDN/>
        <w:spacing w:after="160" w:line="259" w:lineRule="auto"/>
        <w:jc w:val="both"/>
        <w:rPr>
          <w:rFonts w:cs="Arial"/>
          <w:color w:val="404040"/>
          <w:sz w:val="18"/>
          <w:szCs w:val="18"/>
        </w:rPr>
      </w:pPr>
      <w:r>
        <w:rPr>
          <w:sz w:val="18"/>
          <w:szCs w:val="18"/>
          <w:lang w:val="it"/>
        </w:rPr>
        <w:t xml:space="preserve">Presentare il reclamo tramite FIN-NET, che è una rete dell’UE di organizzazioni nazionali, responsabile della risoluzione extragiudiziale dei reclami dei consumatori nel settore dei servizi finanziari, e </w:t>
      </w:r>
      <w:r>
        <w:rPr>
          <w:color w:val="404040"/>
          <w:sz w:val="18"/>
          <w:szCs w:val="18"/>
          <w:lang w:val="it"/>
        </w:rPr>
        <w:t>conforme ai principi stabiliti dalla </w:t>
      </w:r>
      <w:hyperlink r:id="rId21" w:history="1">
        <w:r>
          <w:rPr>
            <w:rStyle w:val="Hyperlink"/>
            <w:rFonts w:cs="Arial"/>
            <w:color w:val="004494"/>
            <w:sz w:val="18"/>
            <w:szCs w:val="18"/>
            <w:lang w:val="it"/>
          </w:rPr>
          <w:t>Direttiva 2013/11/UE sulla risoluzione alternativa delle controversie (ADR)</w:t>
        </w:r>
      </w:hyperlink>
      <w:r>
        <w:rPr>
          <w:color w:val="404040"/>
          <w:sz w:val="18"/>
          <w:szCs w:val="18"/>
          <w:lang w:val="it"/>
        </w:rPr>
        <w:t>.</w:t>
      </w:r>
    </w:p>
    <w:p w14:paraId="53C9304D" w14:textId="1AA37AED" w:rsidR="00E753A5" w:rsidRPr="00A11B81" w:rsidRDefault="00E753A5" w:rsidP="00E753A5">
      <w:pPr>
        <w:widowControl/>
        <w:autoSpaceDE/>
        <w:autoSpaceDN/>
        <w:spacing w:after="160" w:line="259" w:lineRule="auto"/>
        <w:ind w:left="360"/>
        <w:jc w:val="both"/>
        <w:rPr>
          <w:rFonts w:eastAsia="Calibri" w:cs="Calibri"/>
          <w:sz w:val="18"/>
          <w:szCs w:val="18"/>
          <w:lang w:val="fr-FR"/>
        </w:rPr>
      </w:pPr>
      <w:r>
        <w:rPr>
          <w:rFonts w:eastAsia="Calibri" w:cs="Calibri"/>
          <w:sz w:val="18"/>
          <w:szCs w:val="18"/>
          <w:lang w:val="it"/>
        </w:rPr>
        <w:t>Sintesi delle informazioni presso FIN-NET:</w:t>
      </w:r>
    </w:p>
    <w:p w14:paraId="39EDDC79" w14:textId="483F31E5" w:rsidR="00E753A5" w:rsidRPr="00A11B81" w:rsidRDefault="00E753A5" w:rsidP="00E753A5">
      <w:pPr>
        <w:widowControl/>
        <w:autoSpaceDE/>
        <w:autoSpaceDN/>
        <w:spacing w:after="160" w:line="259" w:lineRule="auto"/>
        <w:ind w:left="360"/>
        <w:jc w:val="both"/>
        <w:rPr>
          <w:rFonts w:eastAsia="Calibri" w:cs="Calibri"/>
          <w:sz w:val="18"/>
          <w:szCs w:val="18"/>
          <w:lang w:val="fr-FR"/>
        </w:rPr>
      </w:pPr>
      <w:r>
        <w:rPr>
          <w:rFonts w:eastAsia="Calibri" w:cs="Calibri"/>
          <w:sz w:val="18"/>
          <w:szCs w:val="18"/>
          <w:lang w:val="it"/>
        </w:rPr>
        <w:t>- Il sito web di FIN_NET per maggiori dettagli: https://ec.europa.eu/info/business-economy-euro/banking-and-finance/consumer-finance-and-payments/retail-financial-services/financial-dispute-resolution-network-fin-net/fin-net-network/about-fin-net_en</w:t>
      </w:r>
    </w:p>
    <w:p w14:paraId="100FB11A" w14:textId="3B69F2A3" w:rsidR="00E753A5" w:rsidRPr="00A11B81" w:rsidRDefault="00E753A5" w:rsidP="00E753A5">
      <w:pPr>
        <w:widowControl/>
        <w:autoSpaceDE/>
        <w:autoSpaceDN/>
        <w:spacing w:after="160" w:line="259" w:lineRule="auto"/>
        <w:ind w:left="360"/>
        <w:jc w:val="both"/>
        <w:rPr>
          <w:rFonts w:eastAsia="Calibri" w:cs="Calibri"/>
          <w:sz w:val="18"/>
          <w:szCs w:val="18"/>
          <w:lang w:val="fr-FR"/>
        </w:rPr>
      </w:pPr>
      <w:r>
        <w:rPr>
          <w:rFonts w:eastAsia="Calibri" w:cs="Calibri"/>
          <w:sz w:val="18"/>
          <w:szCs w:val="18"/>
          <w:lang w:val="it"/>
        </w:rPr>
        <w:t>- Modulo FIN-NET per i reclami transfrontalieri (disponibile nella vostra lingua):</w:t>
      </w:r>
    </w:p>
    <w:tbl>
      <w:tblPr>
        <w:tblStyle w:val="TableGrid"/>
        <w:tblW w:w="0" w:type="auto"/>
        <w:tblInd w:w="360" w:type="dxa"/>
        <w:tblLook w:val="04A0" w:firstRow="1" w:lastRow="0" w:firstColumn="1" w:lastColumn="0" w:noHBand="0" w:noVBand="1"/>
      </w:tblPr>
      <w:tblGrid>
        <w:gridCol w:w="2754"/>
        <w:gridCol w:w="6466"/>
      </w:tblGrid>
      <w:tr w:rsidR="00425E17" w:rsidRPr="00AF41B0" w14:paraId="13F2E8CF" w14:textId="77777777" w:rsidTr="00553FEB">
        <w:tc>
          <w:tcPr>
            <w:tcW w:w="2754" w:type="dxa"/>
          </w:tcPr>
          <w:p w14:paraId="3AFC6390" w14:textId="682ED83E" w:rsidR="00425E17" w:rsidRPr="003E6E4A" w:rsidRDefault="00425E17" w:rsidP="00E753A5">
            <w:pPr>
              <w:widowControl/>
              <w:autoSpaceDE/>
              <w:autoSpaceDN/>
              <w:spacing w:after="160" w:line="259" w:lineRule="auto"/>
              <w:jc w:val="both"/>
              <w:rPr>
                <w:rFonts w:eastAsia="Calibri" w:cs="Calibri"/>
                <w:sz w:val="16"/>
                <w:szCs w:val="16"/>
              </w:rPr>
            </w:pPr>
            <w:r>
              <w:rPr>
                <w:rFonts w:eastAsia="Calibri" w:cs="Calibri"/>
                <w:sz w:val="16"/>
                <w:szCs w:val="16"/>
                <w:lang w:val="it"/>
              </w:rPr>
              <w:t>Inglese</w:t>
            </w:r>
          </w:p>
        </w:tc>
        <w:tc>
          <w:tcPr>
            <w:tcW w:w="6466" w:type="dxa"/>
          </w:tcPr>
          <w:p w14:paraId="7F845D0E" w14:textId="7AC1D213" w:rsidR="00425E17" w:rsidRPr="003E6E4A" w:rsidRDefault="00425E17" w:rsidP="00E753A5">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https://ec.europa.eu/info/sites/default/files/fin-net-complaint-form_en.docx</w:t>
            </w:r>
          </w:p>
        </w:tc>
      </w:tr>
      <w:tr w:rsidR="00425E17" w:rsidRPr="00AF41B0" w14:paraId="278219B4" w14:textId="77777777" w:rsidTr="00553FEB">
        <w:tc>
          <w:tcPr>
            <w:tcW w:w="2754" w:type="dxa"/>
          </w:tcPr>
          <w:p w14:paraId="61AAAAD5" w14:textId="22F02FD9"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Ceco</w:t>
            </w:r>
          </w:p>
        </w:tc>
        <w:tc>
          <w:tcPr>
            <w:tcW w:w="6466" w:type="dxa"/>
          </w:tcPr>
          <w:p w14:paraId="6B689DFE" w14:textId="736855F2"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https://ec.europa.eu/info/sites/default/files/fin-net-complaint-form_cs.docx</w:t>
            </w:r>
          </w:p>
        </w:tc>
      </w:tr>
      <w:tr w:rsidR="00425E17" w:rsidRPr="00AF41B0" w14:paraId="33A2CDDB" w14:textId="77777777" w:rsidTr="00553FEB">
        <w:tc>
          <w:tcPr>
            <w:tcW w:w="2754" w:type="dxa"/>
          </w:tcPr>
          <w:p w14:paraId="2C7DE8F0" w14:textId="6C39D759"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Olandese</w:t>
            </w:r>
          </w:p>
        </w:tc>
        <w:tc>
          <w:tcPr>
            <w:tcW w:w="6466" w:type="dxa"/>
          </w:tcPr>
          <w:p w14:paraId="755E0997" w14:textId="0207572A"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https://ec.europa.eu/info/sites/default/files/fin-net-complaint-form_nl.docx</w:t>
            </w:r>
          </w:p>
        </w:tc>
      </w:tr>
      <w:tr w:rsidR="00425E17" w:rsidRPr="00AF41B0" w14:paraId="507AEB76" w14:textId="77777777" w:rsidTr="00553FEB">
        <w:tc>
          <w:tcPr>
            <w:tcW w:w="2754" w:type="dxa"/>
          </w:tcPr>
          <w:p w14:paraId="1648B4E0" w14:textId="31EFDAD5"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Francese</w:t>
            </w:r>
          </w:p>
        </w:tc>
        <w:tc>
          <w:tcPr>
            <w:tcW w:w="6466" w:type="dxa"/>
          </w:tcPr>
          <w:p w14:paraId="7E4FA507" w14:textId="59AAE7EE"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https://ec.europa.eu/info/sites/default/files/fin-net-complaint-form_fr.docx</w:t>
            </w:r>
          </w:p>
        </w:tc>
      </w:tr>
      <w:tr w:rsidR="00425E17" w:rsidRPr="00AF41B0" w14:paraId="639B3FC1" w14:textId="77777777" w:rsidTr="00553FEB">
        <w:tc>
          <w:tcPr>
            <w:tcW w:w="2754" w:type="dxa"/>
          </w:tcPr>
          <w:p w14:paraId="51F18D34" w14:textId="28030D19"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Tedesco</w:t>
            </w:r>
          </w:p>
        </w:tc>
        <w:tc>
          <w:tcPr>
            <w:tcW w:w="6466" w:type="dxa"/>
          </w:tcPr>
          <w:p w14:paraId="3AC2F0C3" w14:textId="181A3EF8"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https://ec.europa.eu/info/sites/default/files/fin-net-complaint-form_de.docx</w:t>
            </w:r>
          </w:p>
        </w:tc>
      </w:tr>
      <w:tr w:rsidR="00425E17" w:rsidRPr="00AF41B0" w14:paraId="18B6A298" w14:textId="77777777" w:rsidTr="00553FEB">
        <w:tc>
          <w:tcPr>
            <w:tcW w:w="2754" w:type="dxa"/>
          </w:tcPr>
          <w:p w14:paraId="4AA08077" w14:textId="63F33369"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Italiano</w:t>
            </w:r>
          </w:p>
        </w:tc>
        <w:tc>
          <w:tcPr>
            <w:tcW w:w="6466" w:type="dxa"/>
          </w:tcPr>
          <w:p w14:paraId="0A6D287B" w14:textId="040826A7"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https://ec.europa.eu/info/sites/default/files/fin-net-complaint-form_it.docx</w:t>
            </w:r>
          </w:p>
        </w:tc>
      </w:tr>
      <w:tr w:rsidR="00425E17" w:rsidRPr="00AF41B0" w14:paraId="6DEDA389" w14:textId="77777777" w:rsidTr="00553FEB">
        <w:tc>
          <w:tcPr>
            <w:tcW w:w="2754" w:type="dxa"/>
          </w:tcPr>
          <w:p w14:paraId="0A2F246D" w14:textId="566A5B8E" w:rsidR="00425E17" w:rsidRPr="003E6E4A" w:rsidRDefault="00F578EE" w:rsidP="00425E17">
            <w:pPr>
              <w:widowControl/>
              <w:autoSpaceDE/>
              <w:autoSpaceDN/>
              <w:spacing w:after="160" w:line="259" w:lineRule="auto"/>
              <w:jc w:val="both"/>
              <w:rPr>
                <w:rFonts w:eastAsia="Calibri" w:cs="Calibri"/>
                <w:sz w:val="16"/>
                <w:szCs w:val="16"/>
              </w:rPr>
            </w:pPr>
            <w:r>
              <w:rPr>
                <w:rFonts w:eastAsia="Calibri" w:cs="Calibri"/>
                <w:sz w:val="16"/>
                <w:szCs w:val="16"/>
                <w:lang w:val="it"/>
              </w:rPr>
              <w:t>Portoghese</w:t>
            </w:r>
          </w:p>
        </w:tc>
        <w:tc>
          <w:tcPr>
            <w:tcW w:w="6466" w:type="dxa"/>
          </w:tcPr>
          <w:p w14:paraId="4D95265D" w14:textId="31DD06CD"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https://ec.europa.eu/info/sites/default/files/fin-net-complaint-form_pt.docx</w:t>
            </w:r>
          </w:p>
        </w:tc>
      </w:tr>
      <w:tr w:rsidR="00425E17" w:rsidRPr="00AF41B0" w14:paraId="50EF6DB4" w14:textId="77777777" w:rsidTr="00553FEB">
        <w:tc>
          <w:tcPr>
            <w:tcW w:w="2754" w:type="dxa"/>
          </w:tcPr>
          <w:p w14:paraId="4462CD54" w14:textId="091E62C4"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Slovacco</w:t>
            </w:r>
          </w:p>
        </w:tc>
        <w:tc>
          <w:tcPr>
            <w:tcW w:w="6466" w:type="dxa"/>
          </w:tcPr>
          <w:p w14:paraId="1D6BF053" w14:textId="6BB8333F"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https://ec.europa.eu/info/sites/default/files/fin-net-complaint-form_sk.docx</w:t>
            </w:r>
          </w:p>
        </w:tc>
      </w:tr>
      <w:tr w:rsidR="00425E17" w:rsidRPr="00AF41B0" w14:paraId="256B833C" w14:textId="77777777" w:rsidTr="00553FEB">
        <w:tc>
          <w:tcPr>
            <w:tcW w:w="2754" w:type="dxa"/>
          </w:tcPr>
          <w:p w14:paraId="51FA3BFD" w14:textId="33E13127"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Spagnolo</w:t>
            </w:r>
          </w:p>
        </w:tc>
        <w:tc>
          <w:tcPr>
            <w:tcW w:w="6466" w:type="dxa"/>
          </w:tcPr>
          <w:p w14:paraId="07DC31B4" w14:textId="612780F4" w:rsidR="00425E17" w:rsidRPr="003E6E4A" w:rsidRDefault="00425E17" w:rsidP="00425E17">
            <w:pPr>
              <w:widowControl/>
              <w:autoSpaceDE/>
              <w:autoSpaceDN/>
              <w:spacing w:after="160" w:line="259" w:lineRule="auto"/>
              <w:jc w:val="both"/>
              <w:rPr>
                <w:rFonts w:eastAsia="Calibri" w:cs="Calibri"/>
                <w:sz w:val="16"/>
                <w:szCs w:val="16"/>
              </w:rPr>
            </w:pPr>
            <w:r>
              <w:rPr>
                <w:rFonts w:eastAsia="Calibri" w:cs="Calibri"/>
                <w:sz w:val="16"/>
                <w:szCs w:val="16"/>
                <w:lang w:val="it"/>
              </w:rPr>
              <w:t>https://ec.europa.eu/info/sites/default/files/fin-net-complaint-form_es.docx</w:t>
            </w:r>
          </w:p>
        </w:tc>
      </w:tr>
    </w:tbl>
    <w:p w14:paraId="6A8E25E3" w14:textId="77777777" w:rsidR="00425E17" w:rsidRPr="004F1BF6" w:rsidRDefault="00425E17" w:rsidP="00E753A5">
      <w:pPr>
        <w:widowControl/>
        <w:autoSpaceDE/>
        <w:autoSpaceDN/>
        <w:spacing w:after="160" w:line="259" w:lineRule="auto"/>
        <w:ind w:left="360"/>
        <w:jc w:val="both"/>
        <w:rPr>
          <w:rFonts w:eastAsia="Calibri" w:cs="Calibri"/>
          <w:sz w:val="20"/>
          <w:szCs w:val="20"/>
        </w:rPr>
      </w:pPr>
    </w:p>
    <w:p w14:paraId="36AA5F0E" w14:textId="132D686B" w:rsidR="00644FEA" w:rsidRPr="00A11B81" w:rsidRDefault="00276403" w:rsidP="00276403">
      <w:pPr>
        <w:widowControl/>
        <w:autoSpaceDE/>
        <w:autoSpaceDN/>
        <w:spacing w:after="160" w:line="259" w:lineRule="auto"/>
        <w:jc w:val="both"/>
        <w:rPr>
          <w:rFonts w:eastAsia="Calibri" w:cs="Calibri"/>
          <w:sz w:val="18"/>
          <w:szCs w:val="18"/>
          <w:lang w:val="it"/>
        </w:rPr>
      </w:pPr>
      <w:r>
        <w:rPr>
          <w:rFonts w:eastAsia="Calibri" w:cs="Calibri"/>
          <w:sz w:val="18"/>
          <w:szCs w:val="18"/>
          <w:lang w:val="it"/>
        </w:rPr>
        <w:t>Il membro di FIN-NET vi comunicherà se è in grado di risolvere il vostro problema o se può indirizzarvi ad altra organizzazione in grado di aiutarvi. Potrebbero esservi chieste ulteriori informazioni allo scopo di valutare correttamente il vostro caso. La maggior parte dei membri di FIN-NET può assistervi gratuitamente o a costi contenuti. Di solito si giunge a un risultato entro 90 giorni.</w:t>
      </w:r>
    </w:p>
    <w:p w14:paraId="67A9BD0B" w14:textId="1956BD48" w:rsidR="00386190" w:rsidRPr="00A11B81"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lang w:val="it"/>
        </w:rPr>
      </w:pPr>
      <w:r>
        <w:rPr>
          <w:rFonts w:eastAsia="Times New Roman" w:cs="Calibri"/>
          <w:b/>
          <w:bCs/>
          <w:color w:val="C21B1C"/>
          <w:sz w:val="24"/>
          <w:szCs w:val="24"/>
          <w:lang w:val="it"/>
        </w:rPr>
        <w:t>Diritti degli investitori nei confronti del/i Fondo/i e dei fornitori di servizi del/i Fondo/i</w:t>
      </w:r>
    </w:p>
    <w:p w14:paraId="75C64AC7" w14:textId="37492A5F" w:rsidR="00386190" w:rsidRPr="00A11B81" w:rsidRDefault="00386190" w:rsidP="00386190">
      <w:pPr>
        <w:widowControl/>
        <w:autoSpaceDE/>
        <w:autoSpaceDN/>
        <w:spacing w:after="160" w:line="259" w:lineRule="auto"/>
        <w:jc w:val="both"/>
        <w:rPr>
          <w:rFonts w:eastAsia="Calibri" w:cs="Calibri"/>
          <w:sz w:val="18"/>
          <w:szCs w:val="18"/>
          <w:lang w:val="it"/>
        </w:rPr>
      </w:pPr>
      <w:r>
        <w:rPr>
          <w:rFonts w:eastAsia="Calibri" w:cs="Calibri"/>
          <w:sz w:val="18"/>
          <w:szCs w:val="18"/>
          <w:lang w:val="it"/>
        </w:rPr>
        <w:t>In qualità di Investitore del/i Fondo/i, avete il diritto di agire contro il/i Fondo/i per qualsiasi violazione del contratto.</w:t>
      </w:r>
    </w:p>
    <w:p w14:paraId="2265562F" w14:textId="3A629FEF" w:rsidR="773FDEAA" w:rsidRPr="00A11B81" w:rsidRDefault="773FDEAA" w:rsidP="6D3C900C">
      <w:pPr>
        <w:widowControl/>
        <w:spacing w:after="160" w:line="259" w:lineRule="auto"/>
        <w:jc w:val="both"/>
        <w:rPr>
          <w:rFonts w:eastAsia="Calibri" w:cs="Calibri"/>
          <w:sz w:val="18"/>
          <w:szCs w:val="18"/>
          <w:lang w:val="it"/>
        </w:rPr>
      </w:pPr>
      <w:r>
        <w:rPr>
          <w:rFonts w:eastAsia="Calibri" w:cs="Calibri"/>
          <w:sz w:val="18"/>
          <w:szCs w:val="18"/>
          <w:lang w:val="it"/>
        </w:rPr>
        <w:t xml:space="preserve">Si precisa che, qualora l’investimento nel Fondo avvenga tramite un intermediario che agisca a proprio nome ma per conto dell’investitore, potrebbe non sempre essere possibile per quest’ultimo (i) esercitare direttamente alcuni diritti di </w:t>
      </w:r>
      <w:r>
        <w:rPr>
          <w:rFonts w:eastAsia="Calibri" w:cs="Calibri"/>
          <w:sz w:val="18"/>
          <w:szCs w:val="18"/>
          <w:lang w:val="it"/>
        </w:rPr>
        <w:lastRenderedPageBreak/>
        <w:t>azionista nei confronti del Fondo, o (ii) ottenere un indennizzo in caso di errori nel calcolo del Valore patrimoniale netto (NAV), di mancato rispetto delle regole di investimento e/o di altri errori a livello del Fondo. </w:t>
      </w:r>
    </w:p>
    <w:p w14:paraId="532F9C4B" w14:textId="303A664F" w:rsidR="00386190" w:rsidRPr="00A11B81" w:rsidRDefault="0082151C" w:rsidP="00386190">
      <w:pPr>
        <w:widowControl/>
        <w:autoSpaceDE/>
        <w:autoSpaceDN/>
        <w:spacing w:after="160" w:line="259" w:lineRule="auto"/>
        <w:jc w:val="both"/>
        <w:rPr>
          <w:rFonts w:eastAsia="Calibri" w:cs="Calibri"/>
          <w:sz w:val="18"/>
          <w:szCs w:val="18"/>
          <w:lang w:val="it"/>
        </w:rPr>
      </w:pPr>
      <w:r>
        <w:rPr>
          <w:rFonts w:eastAsia="Calibri" w:cs="Calibri"/>
          <w:sz w:val="18"/>
          <w:szCs w:val="18"/>
          <w:lang w:val="it"/>
        </w:rPr>
        <w:t>Gli investitori nel/ii Fondo/i non hanno alcun diritto contrattuale diretto nei confronti di un fornitore di servizi nominato in relazione ai Fondi, a causa dell’assenza di un rapporto contrattuale diretto tra l’Investitore e il relativo fornitore di servizi. Invece, l’attore legittimo in un’azione per denunciare un illecito contro il Fondo o la Società di gestione da parte del fornitore di servizi pertinente è di norma il Fondo o la Società di gestione, a seconda dei casi.</w:t>
      </w:r>
    </w:p>
    <w:p w14:paraId="648BC794" w14:textId="40BC6931" w:rsidR="00386190" w:rsidRPr="00A11B81" w:rsidRDefault="00386190" w:rsidP="00386190">
      <w:pPr>
        <w:widowControl/>
        <w:autoSpaceDE/>
        <w:autoSpaceDN/>
        <w:spacing w:after="160" w:line="259" w:lineRule="auto"/>
        <w:jc w:val="both"/>
        <w:rPr>
          <w:rFonts w:eastAsia="Calibri" w:cs="Calibri"/>
          <w:sz w:val="18"/>
          <w:szCs w:val="18"/>
          <w:lang w:val="it"/>
        </w:rPr>
      </w:pPr>
      <w:r>
        <w:rPr>
          <w:rFonts w:eastAsia="Calibri" w:cs="Calibri"/>
          <w:sz w:val="18"/>
          <w:szCs w:val="18"/>
          <w:lang w:val="it"/>
        </w:rPr>
        <w:t xml:space="preserve">Fermo restando quanto sopra, un Investitore ha il diritto di agire nei confronti del </w:t>
      </w:r>
      <w:r>
        <w:rPr>
          <w:rFonts w:eastAsia="Calibri" w:cs="Calibri"/>
          <w:b/>
          <w:bCs/>
          <w:sz w:val="18"/>
          <w:szCs w:val="18"/>
          <w:lang w:val="it"/>
        </w:rPr>
        <w:t>Depositario</w:t>
      </w:r>
      <w:r>
        <w:rPr>
          <w:rFonts w:eastAsia="Calibri" w:cs="Calibri"/>
          <w:sz w:val="18"/>
          <w:szCs w:val="18"/>
          <w:lang w:val="it"/>
        </w:rPr>
        <w:t xml:space="preserve"> nominato dal/i Fondo/i in relazione a (i) qualsiasi perdita di un’attività detenuta in custodia dal Depositario o da un suo delegato o (ii) qualsiasi altra perdita causata da negligenza o dolo del Depositario nell’adempiere correttamente ai propri obblighi ai sensi della normativa applicabile, a condizione che ciò non comporti una duplicazione dei risarcimenti o una disparità di trattamento degli Investitori del/i Fondo/i.</w:t>
      </w:r>
    </w:p>
    <w:p w14:paraId="6F9C2FD5" w14:textId="77777777" w:rsidR="008B505C" w:rsidRPr="00A11B81" w:rsidRDefault="008B505C" w:rsidP="00386190">
      <w:pPr>
        <w:widowControl/>
        <w:autoSpaceDE/>
        <w:autoSpaceDN/>
        <w:spacing w:after="160" w:line="259" w:lineRule="auto"/>
        <w:jc w:val="both"/>
        <w:rPr>
          <w:rFonts w:eastAsia="Calibri" w:cs="Calibri"/>
          <w:sz w:val="20"/>
          <w:szCs w:val="20"/>
          <w:lang w:val="it"/>
        </w:rPr>
      </w:pPr>
    </w:p>
    <w:p w14:paraId="61746CE7" w14:textId="77777777" w:rsidR="00386190" w:rsidRPr="00A11B81"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lang w:val="it"/>
        </w:rPr>
      </w:pPr>
      <w:r>
        <w:rPr>
          <w:rFonts w:eastAsia="Times New Roman" w:cs="Calibri"/>
          <w:b/>
          <w:bCs/>
          <w:color w:val="C21B1C"/>
          <w:sz w:val="24"/>
          <w:szCs w:val="24"/>
          <w:lang w:val="it"/>
        </w:rPr>
        <w:t xml:space="preserve">Meccanismo risarcitorio </w:t>
      </w:r>
    </w:p>
    <w:p w14:paraId="45A4B2B5" w14:textId="1CDF04F1" w:rsidR="00630C37" w:rsidRPr="00A11B81" w:rsidRDefault="00386190" w:rsidP="00386190">
      <w:pPr>
        <w:widowControl/>
        <w:autoSpaceDE/>
        <w:autoSpaceDN/>
        <w:spacing w:after="160" w:line="259" w:lineRule="auto"/>
        <w:jc w:val="both"/>
        <w:rPr>
          <w:rFonts w:eastAsia="Calibri" w:cs="Calibri"/>
          <w:sz w:val="18"/>
          <w:szCs w:val="18"/>
          <w:lang w:val="fr-FR"/>
        </w:rPr>
      </w:pPr>
      <w:r>
        <w:rPr>
          <w:sz w:val="18"/>
          <w:szCs w:val="18"/>
          <w:lang w:val="it"/>
        </w:rPr>
        <w:t xml:space="preserve">La Direttiva (UE) 2020/1828 </w:t>
      </w:r>
      <w:r>
        <w:rPr>
          <w:color w:val="000000"/>
          <w:sz w:val="18"/>
          <w:szCs w:val="18"/>
          <w:shd w:val="clear" w:color="auto" w:fill="FFFFFF"/>
          <w:lang w:val="it"/>
        </w:rPr>
        <w:t>sulle azioni rappresentative per la tutela degli interessi collettivi dei consumatori</w:t>
      </w:r>
      <w:r>
        <w:rPr>
          <w:sz w:val="18"/>
          <w:szCs w:val="18"/>
          <w:lang w:val="it"/>
        </w:rPr>
        <w:t xml:space="preserve"> dispone l’introduzione di un meccanismo di risarcimento </w:t>
      </w:r>
      <w:r>
        <w:rPr>
          <w:b/>
          <w:bCs/>
          <w:sz w:val="18"/>
          <w:szCs w:val="18"/>
          <w:lang w:val="it"/>
        </w:rPr>
        <w:t>collettivo</w:t>
      </w:r>
      <w:r>
        <w:rPr>
          <w:sz w:val="18"/>
          <w:szCs w:val="18"/>
          <w:lang w:val="it"/>
        </w:rPr>
        <w:t xml:space="preserve"> in Lussemburgo e nel vostro paese di residenza, entro il 2022. Una volta disponibili, verranno fornite ulteriori informazioni per il vostro paese.</w:t>
      </w:r>
    </w:p>
    <w:p w14:paraId="473D5B02" w14:textId="32175F03" w:rsidR="004F1BF6" w:rsidRPr="00A11B81" w:rsidRDefault="00FE1161"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Nel frattempo, e in assenza di meccanismi legali o normativi specifici, potete consultare il sito web della CSSF seguendo questo link: https:/www.cssf.lu </w:t>
      </w:r>
    </w:p>
    <w:p w14:paraId="7941C0E1" w14:textId="77777777" w:rsidR="00AF41B0" w:rsidRPr="00A11B81" w:rsidRDefault="00AF41B0" w:rsidP="00386190">
      <w:pPr>
        <w:widowControl/>
        <w:autoSpaceDE/>
        <w:autoSpaceDN/>
        <w:spacing w:after="160" w:line="259" w:lineRule="auto"/>
        <w:jc w:val="both"/>
        <w:rPr>
          <w:rFonts w:eastAsia="Calibri" w:cs="Calibri"/>
          <w:sz w:val="18"/>
          <w:szCs w:val="18"/>
          <w:lang w:val="fr-FR"/>
        </w:rPr>
      </w:pPr>
    </w:p>
    <w:p w14:paraId="7D5EE7CC" w14:textId="77777777" w:rsidR="00386190" w:rsidRPr="00A11B81"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lang w:val="fr-FR"/>
        </w:rPr>
      </w:pPr>
      <w:r>
        <w:rPr>
          <w:rFonts w:eastAsia="Times New Roman" w:cs="Calibri"/>
          <w:b/>
          <w:bCs/>
          <w:color w:val="C21B1C"/>
          <w:sz w:val="24"/>
          <w:szCs w:val="24"/>
          <w:lang w:val="it"/>
        </w:rPr>
        <w:t xml:space="preserve">Per le controversie collettive - a livello di UE </w:t>
      </w:r>
    </w:p>
    <w:p w14:paraId="3CEF66C2" w14:textId="77777777" w:rsidR="00386190" w:rsidRPr="00A11B81" w:rsidRDefault="00386190"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Norme applicabili alle azioni collettive per le controversie a livello europeo: si rimanda alla Direttiva (UE) 2020/1828 (del 25 novembre 2020). </w:t>
      </w:r>
    </w:p>
    <w:p w14:paraId="4745FED0" w14:textId="77777777" w:rsidR="00386190" w:rsidRPr="00AF41B0" w:rsidRDefault="00386190" w:rsidP="00386190">
      <w:pPr>
        <w:widowControl/>
        <w:autoSpaceDE/>
        <w:autoSpaceDN/>
        <w:spacing w:after="160" w:line="259" w:lineRule="auto"/>
        <w:jc w:val="both"/>
        <w:rPr>
          <w:rFonts w:eastAsia="Calibri" w:cs="Calibri"/>
          <w:sz w:val="18"/>
          <w:szCs w:val="18"/>
        </w:rPr>
      </w:pPr>
      <w:r>
        <w:rPr>
          <w:rFonts w:eastAsia="Calibri" w:cs="Calibri"/>
          <w:sz w:val="18"/>
          <w:szCs w:val="18"/>
          <w:lang w:val="it"/>
        </w:rPr>
        <w:t xml:space="preserve">Breve sintesi dei diritti previsti: </w:t>
      </w:r>
    </w:p>
    <w:p w14:paraId="7F0EF2AB" w14:textId="222DDFB8" w:rsidR="008B505C" w:rsidRPr="00AF41B0" w:rsidRDefault="00386190" w:rsidP="008B505C">
      <w:pPr>
        <w:pStyle w:val="ListParagraph"/>
        <w:widowControl/>
        <w:numPr>
          <w:ilvl w:val="0"/>
          <w:numId w:val="5"/>
        </w:numPr>
        <w:autoSpaceDE/>
        <w:autoSpaceDN/>
        <w:spacing w:after="80" w:line="276" w:lineRule="auto"/>
        <w:jc w:val="both"/>
        <w:rPr>
          <w:rFonts w:eastAsia="Calibri" w:cs="Calibri"/>
          <w:sz w:val="18"/>
          <w:szCs w:val="18"/>
        </w:rPr>
      </w:pPr>
      <w:r>
        <w:rPr>
          <w:rFonts w:eastAsia="Calibri" w:cs="Calibri"/>
          <w:sz w:val="18"/>
          <w:szCs w:val="18"/>
          <w:lang w:val="it"/>
        </w:rPr>
        <w:t xml:space="preserve">Le azioni rappresentative nazionali o transfrontaliere per difendere gli interessi collettivi dei consumatori in caso di danno collettivo possono essere intraprese da entità qualificate senza scopo di lucro (ad esempio, organizzazioni dei consumatori o organismi pubblici indipendenti); </w:t>
      </w:r>
    </w:p>
    <w:p w14:paraId="66E7B2E3" w14:textId="77777777" w:rsidR="008B505C" w:rsidRPr="00AF41B0" w:rsidRDefault="00386190" w:rsidP="008B505C">
      <w:pPr>
        <w:pStyle w:val="ListParagraph"/>
        <w:widowControl/>
        <w:numPr>
          <w:ilvl w:val="0"/>
          <w:numId w:val="5"/>
        </w:numPr>
        <w:autoSpaceDE/>
        <w:autoSpaceDN/>
        <w:spacing w:after="80" w:line="276" w:lineRule="auto"/>
        <w:jc w:val="both"/>
        <w:rPr>
          <w:rFonts w:eastAsia="Calibri" w:cs="Calibri"/>
          <w:sz w:val="18"/>
          <w:szCs w:val="18"/>
        </w:rPr>
      </w:pPr>
      <w:r>
        <w:rPr>
          <w:rFonts w:eastAsia="Calibri" w:cs="Calibri"/>
          <w:sz w:val="18"/>
          <w:szCs w:val="18"/>
          <w:lang w:val="it"/>
        </w:rPr>
        <w:t>I soggetti qualificati possono richiedere almeno 2 tipi di misure per la protezione degli investitori: ingiuntive e risarcitorie;</w:t>
      </w:r>
    </w:p>
    <w:p w14:paraId="19A5C889" w14:textId="77777777" w:rsidR="008B505C" w:rsidRPr="00AF41B0" w:rsidRDefault="00386190" w:rsidP="008B505C">
      <w:pPr>
        <w:pStyle w:val="ListParagraph"/>
        <w:widowControl/>
        <w:numPr>
          <w:ilvl w:val="0"/>
          <w:numId w:val="5"/>
        </w:numPr>
        <w:autoSpaceDE/>
        <w:autoSpaceDN/>
        <w:spacing w:after="80" w:line="276" w:lineRule="auto"/>
        <w:jc w:val="both"/>
        <w:rPr>
          <w:rFonts w:eastAsia="Calibri" w:cs="Calibri"/>
          <w:sz w:val="18"/>
          <w:szCs w:val="18"/>
        </w:rPr>
      </w:pPr>
      <w:r>
        <w:rPr>
          <w:rFonts w:eastAsia="Calibri" w:cs="Calibri"/>
          <w:sz w:val="18"/>
          <w:szCs w:val="18"/>
          <w:lang w:val="it"/>
        </w:rPr>
        <w:t xml:space="preserve">Le sanzioni, sotto forma di ammende, per il mancato rispetto delle decisioni emesse nell’ambito dell’azione rappresentativa saranno stabilite da ciascuno Stato membro; </w:t>
      </w:r>
    </w:p>
    <w:p w14:paraId="107EBBF8" w14:textId="4AD7DA61" w:rsidR="00386190" w:rsidRPr="00AF41B0" w:rsidRDefault="008B505C" w:rsidP="008B505C">
      <w:pPr>
        <w:pStyle w:val="ListParagraph"/>
        <w:widowControl/>
        <w:numPr>
          <w:ilvl w:val="0"/>
          <w:numId w:val="5"/>
        </w:numPr>
        <w:autoSpaceDE/>
        <w:autoSpaceDN/>
        <w:spacing w:after="80" w:line="276" w:lineRule="auto"/>
        <w:jc w:val="both"/>
        <w:rPr>
          <w:rFonts w:eastAsia="Calibri" w:cs="Calibri"/>
          <w:sz w:val="18"/>
          <w:szCs w:val="18"/>
        </w:rPr>
      </w:pPr>
      <w:r>
        <w:rPr>
          <w:rFonts w:eastAsia="Calibri" w:cs="Calibri"/>
          <w:sz w:val="18"/>
          <w:szCs w:val="18"/>
          <w:lang w:val="it"/>
        </w:rPr>
        <w:t xml:space="preserve">A seconda delle circostanze dei casi (ad esempio, misure provvisorie o definitive per fermare e proibire la pratica di un professionista o per eliminare gli effetti persistenti della violazione), i soggetti abilitati possono intentare azioni rappresentative per ottenere diversi tipi di misure, a seconda dei casi. </w:t>
      </w:r>
    </w:p>
    <w:p w14:paraId="55E19F31" w14:textId="77777777" w:rsidR="008B505C" w:rsidRPr="004F1BF6" w:rsidRDefault="008B505C" w:rsidP="008B505C">
      <w:pPr>
        <w:widowControl/>
        <w:autoSpaceDE/>
        <w:autoSpaceDN/>
        <w:spacing w:after="80" w:line="276" w:lineRule="auto"/>
        <w:ind w:left="360"/>
        <w:jc w:val="both"/>
        <w:rPr>
          <w:rFonts w:eastAsia="Calibri" w:cs="Calibri"/>
          <w:sz w:val="20"/>
          <w:szCs w:val="20"/>
        </w:rPr>
      </w:pPr>
    </w:p>
    <w:p w14:paraId="68FDDC61" w14:textId="77777777" w:rsidR="00386190" w:rsidRPr="00A11B81" w:rsidRDefault="00386190" w:rsidP="00386190">
      <w:pPr>
        <w:keepNext/>
        <w:keepLines/>
        <w:widowControl/>
        <w:autoSpaceDE/>
        <w:autoSpaceDN/>
        <w:spacing w:before="40" w:after="120" w:line="259" w:lineRule="auto"/>
        <w:jc w:val="both"/>
        <w:outlineLvl w:val="1"/>
        <w:rPr>
          <w:rFonts w:eastAsia="Times New Roman" w:cs="Calibri"/>
          <w:b/>
          <w:bCs/>
          <w:color w:val="C21B1C"/>
          <w:sz w:val="24"/>
          <w:szCs w:val="24"/>
          <w:lang w:val="fr-FR"/>
        </w:rPr>
      </w:pPr>
      <w:r>
        <w:rPr>
          <w:rFonts w:eastAsia="Times New Roman" w:cs="Calibri"/>
          <w:b/>
          <w:bCs/>
          <w:color w:val="C21B1C"/>
          <w:sz w:val="24"/>
          <w:szCs w:val="24"/>
          <w:lang w:val="it"/>
        </w:rPr>
        <w:t>Aspetti generali</w:t>
      </w:r>
    </w:p>
    <w:p w14:paraId="6DFC536C" w14:textId="7A94BC31" w:rsidR="00386190" w:rsidRPr="00A11B81" w:rsidRDefault="00386190"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 xml:space="preserve">Si noti che la presente sintesi riguarda i diritti conferiti agli Investitori ai sensi della legislazione applicabile che disciplina la gestione del/i Fondo/i in cui si è investito. </w:t>
      </w:r>
    </w:p>
    <w:p w14:paraId="04193C71" w14:textId="39C08A6B" w:rsidR="00386190" w:rsidRPr="00A11B81" w:rsidRDefault="00386190" w:rsidP="00386190">
      <w:pPr>
        <w:widowControl/>
        <w:autoSpaceDE/>
        <w:autoSpaceDN/>
        <w:spacing w:after="160" w:line="259" w:lineRule="auto"/>
        <w:jc w:val="both"/>
        <w:rPr>
          <w:rFonts w:eastAsia="Calibri" w:cs="Calibri"/>
          <w:sz w:val="18"/>
          <w:szCs w:val="18"/>
          <w:lang w:val="fr-FR"/>
        </w:rPr>
      </w:pPr>
      <w:r>
        <w:rPr>
          <w:rFonts w:eastAsia="Calibri" w:cs="Calibri"/>
          <w:sz w:val="18"/>
          <w:szCs w:val="18"/>
          <w:lang w:val="it"/>
        </w:rPr>
        <w:t>La possibilità di esercitare vari diritti può dipendere dal modo in cui avete investito nel/i Fondo/i e dal fatto che siate un investitore iscritto nel registro degli investitori del/i Fondo/i o che abbiate acquisito le vostre partecipazioni tramite un intermediario. Ciò potrebbe influire sulla vostra capacità di esercitare alcuni dei diritti di cui sopra.</w:t>
      </w:r>
    </w:p>
    <w:p w14:paraId="34039297" w14:textId="67F6A606" w:rsidR="006F3695" w:rsidRPr="00A11B81" w:rsidRDefault="00386190" w:rsidP="005B306A">
      <w:pPr>
        <w:widowControl/>
        <w:autoSpaceDE/>
        <w:autoSpaceDN/>
        <w:spacing w:after="160" w:line="259" w:lineRule="auto"/>
        <w:jc w:val="both"/>
        <w:rPr>
          <w:rFonts w:eastAsia="Calibri" w:cs="Calibri"/>
          <w:sz w:val="18"/>
          <w:szCs w:val="18"/>
          <w:lang w:val="fr-FR"/>
        </w:rPr>
      </w:pPr>
      <w:r>
        <w:rPr>
          <w:sz w:val="18"/>
          <w:szCs w:val="18"/>
          <w:lang w:val="it"/>
        </w:rPr>
        <w:t xml:space="preserve">Potreste inoltre godere dei diritti previsti da altre legislazioni o quadri normativi non trattati sopra tra cui, ad esempio, i vostri diritti in qualità di soggetti interessati ai sensi del Regolamento 2016/679 </w:t>
      </w:r>
      <w:r>
        <w:rPr>
          <w:color w:val="444444"/>
          <w:sz w:val="18"/>
          <w:szCs w:val="18"/>
          <w:shd w:val="clear" w:color="auto" w:fill="FFFFFF"/>
          <w:lang w:val="it"/>
        </w:rPr>
        <w:t>relativo alla protezione delle persone fisiche con riguardo al trattamento dei dati personali, nonché alla libera circolazione di tali dati</w:t>
      </w:r>
      <w:r>
        <w:rPr>
          <w:sz w:val="18"/>
          <w:szCs w:val="18"/>
          <w:lang w:val="it"/>
        </w:rPr>
        <w:t>.</w:t>
      </w:r>
    </w:p>
    <w:sectPr w:rsidR="006F3695" w:rsidRPr="00A11B81" w:rsidSect="002174D8">
      <w:headerReference w:type="default" r:id="rId22"/>
      <w:footerReference w:type="default" r:id="rId23"/>
      <w:pgSz w:w="11910" w:h="16840"/>
      <w:pgMar w:top="1276" w:right="1120" w:bottom="1220" w:left="120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E50" w14:textId="77777777" w:rsidR="005C1811" w:rsidRDefault="005C1811">
      <w:r>
        <w:separator/>
      </w:r>
    </w:p>
  </w:endnote>
  <w:endnote w:type="continuationSeparator" w:id="0">
    <w:p w14:paraId="137115FF" w14:textId="77777777" w:rsidR="005C1811" w:rsidRDefault="005C1811">
      <w:r>
        <w:continuationSeparator/>
      </w:r>
    </w:p>
  </w:endnote>
  <w:endnote w:type="continuationNotice" w:id="1">
    <w:p w14:paraId="76DE85F9" w14:textId="77777777" w:rsidR="005C1811" w:rsidRDefault="005C1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0F0F" w14:textId="6EBA2675" w:rsidR="00650248" w:rsidRDefault="00650248">
    <w:pPr>
      <w:pStyle w:val="BodyText"/>
      <w:spacing w:line="14" w:lineRule="auto"/>
      <w:rPr>
        <w:sz w:val="20"/>
      </w:rPr>
    </w:pPr>
    <w:r>
      <w:rPr>
        <w:noProof/>
        <w:lang w:val="it"/>
      </w:rPr>
      <mc:AlternateContent>
        <mc:Choice Requires="wps">
          <w:drawing>
            <wp:anchor distT="0" distB="0" distL="114300" distR="114300" simplePos="0" relativeHeight="251658240" behindDoc="1" locked="0" layoutInCell="1" allowOverlap="1" wp14:anchorId="3E9E095D" wp14:editId="0DF79920">
              <wp:simplePos x="0" y="0"/>
              <wp:positionH relativeFrom="page">
                <wp:posOffset>3710940</wp:posOffset>
              </wp:positionH>
              <wp:positionV relativeFrom="page">
                <wp:posOffset>9893935</wp:posOffset>
              </wp:positionV>
              <wp:extent cx="146050" cy="193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A05C8" w14:textId="77777777" w:rsidR="00650248" w:rsidRDefault="00650248">
                          <w:pPr>
                            <w:spacing w:before="25"/>
                            <w:ind w:left="60"/>
                            <w:rPr>
                              <w:rFonts w:ascii="Calibri"/>
                              <w:sz w:val="21"/>
                            </w:rPr>
                          </w:pPr>
                          <w:r>
                            <w:rPr>
                              <w:lang w:val="it"/>
                            </w:rPr>
                            <w:fldChar w:fldCharType="begin"/>
                          </w:r>
                          <w:r>
                            <w:rPr>
                              <w:rFonts w:ascii="Calibri"/>
                              <w:sz w:val="21"/>
                              <w:lang w:val="it"/>
                            </w:rPr>
                            <w:instrText xml:space="preserve"> PAGE </w:instrText>
                          </w:r>
                          <w:r>
                            <w:rPr>
                              <w:lang w:val="it"/>
                            </w:rPr>
                            <w:fldChar w:fldCharType="separate"/>
                          </w:r>
                          <w:r>
                            <w:rPr>
                              <w:lang w:val="it"/>
                            </w:rPr>
                            <w:t>1</w:t>
                          </w:r>
                          <w:r>
                            <w:rPr>
                              <w:lang w:val="i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E095D" id="_x0000_t202" coordsize="21600,21600" o:spt="202" path="m,l,21600r21600,l21600,xe">
              <v:stroke joinstyle="miter"/>
              <v:path gradientshapeok="t" o:connecttype="rect"/>
            </v:shapetype>
            <v:shape id="Text Box 1" o:spid="_x0000_s1026" type="#_x0000_t202" style="position:absolute;margin-left:292.2pt;margin-top:779.05pt;width:11.5pt;height: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" filled="f" stroked="f">
              <v:textbox inset="0,0,0,0">
                <w:txbxContent>
                  <w:p w14:paraId="4FDA05C8" w14:textId="77777777" w:rsidR="00650248" w:rsidRDefault="00650248">
                    <w:pPr>
                      <w:spacing w:before="25"/>
                      <w:ind w:left="60"/>
                      <w:rPr>
                        <w:rFonts w:ascii="Calibri"/>
                        <w:sz w:val="21"/>
                      </w:rPr>
                    </w:pPr>
                    <w:r>
                      <w:rPr>
                        <w:lang w:val="it"/>
                      </w:rPr>
                      <w:fldChar w:fldCharType="begin"/>
                    </w:r>
                    <w:r>
                      <w:rPr>
                        <w:rFonts w:ascii="Calibri"/>
                        <w:sz w:val="21"/>
                        <w:lang w:val="it"/>
                      </w:rPr>
                      <w:instrText xml:space="preserve"> PAGE </w:instrText>
                    </w:r>
                    <w:r>
                      <w:rPr>
                        <w:lang w:val="it"/>
                      </w:rPr>
                      <w:fldChar w:fldCharType="separate"/>
                    </w:r>
                    <w:r>
                      <w:rPr>
                        <w:lang w:val="it"/>
                      </w:rPr>
                      <w:t>1</w:t>
                    </w:r>
                    <w:r>
                      <w:rPr>
                        <w:lang w:val="i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4EA7" w14:textId="77777777" w:rsidR="005C1811" w:rsidRDefault="005C1811">
      <w:r>
        <w:separator/>
      </w:r>
    </w:p>
  </w:footnote>
  <w:footnote w:type="continuationSeparator" w:id="0">
    <w:p w14:paraId="3521BB24" w14:textId="77777777" w:rsidR="005C1811" w:rsidRDefault="005C1811">
      <w:r>
        <w:continuationSeparator/>
      </w:r>
    </w:p>
  </w:footnote>
  <w:footnote w:type="continuationNotice" w:id="1">
    <w:p w14:paraId="45DC3CA8" w14:textId="77777777" w:rsidR="005C1811" w:rsidRDefault="005C1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DEA4" w14:textId="77777777" w:rsidR="00650248" w:rsidRDefault="00650248" w:rsidP="00D6407F">
    <w:pPr>
      <w:pStyle w:val="Header"/>
      <w:tabs>
        <w:tab w:val="left" w:pos="3476"/>
      </w:tabs>
      <w:rPr>
        <w:rFonts w:ascii="Helvetica" w:hAnsi="Helvetica" w:cs="Arial"/>
        <w:sz w:val="16"/>
      </w:rPr>
    </w:pPr>
  </w:p>
  <w:p w14:paraId="129888A7" w14:textId="77777777" w:rsidR="00650248" w:rsidRDefault="00650248" w:rsidP="00D6407F">
    <w:pPr>
      <w:pStyle w:val="Header"/>
      <w:tabs>
        <w:tab w:val="left" w:pos="3476"/>
      </w:tabs>
      <w:rPr>
        <w:rFonts w:ascii="Helvetica" w:hAnsi="Helvetica" w:cs="Arial"/>
        <w:sz w:val="16"/>
      </w:rPr>
    </w:pPr>
  </w:p>
  <w:p w14:paraId="400391D0" w14:textId="77777777" w:rsidR="00650248" w:rsidRDefault="00650248" w:rsidP="00D6407F">
    <w:pPr>
      <w:pStyle w:val="Header"/>
      <w:tabs>
        <w:tab w:val="left" w:pos="3476"/>
      </w:tabs>
      <w:rPr>
        <w:rFonts w:ascii="Helvetica" w:hAnsi="Helvetica" w:cs="Arial"/>
        <w:sz w:val="16"/>
      </w:rPr>
    </w:pPr>
  </w:p>
  <w:p w14:paraId="144DB21A" w14:textId="77777777" w:rsidR="00650248" w:rsidRDefault="00650248" w:rsidP="00D6407F">
    <w:pPr>
      <w:pStyle w:val="Header"/>
      <w:tabs>
        <w:tab w:val="left" w:pos="3476"/>
      </w:tabs>
      <w:rPr>
        <w:rFonts w:ascii="Helvetica" w:hAnsi="Helvetica" w:cs="Arial"/>
        <w:sz w:val="16"/>
      </w:rPr>
    </w:pPr>
  </w:p>
  <w:p w14:paraId="6A157EE8" w14:textId="229133D2" w:rsidR="00650248" w:rsidRPr="00386190" w:rsidRDefault="00650248" w:rsidP="00D6407F">
    <w:pPr>
      <w:pStyle w:val="Header"/>
      <w:tabs>
        <w:tab w:val="left" w:pos="3476"/>
      </w:tabs>
      <w:rPr>
        <w:rFonts w:ascii="Helvetica" w:eastAsia="Times New Roman" w:hAnsi="Helvetica" w:cs="Arial"/>
        <w:sz w:val="16"/>
      </w:rPr>
    </w:pPr>
    <w:r>
      <w:rPr>
        <w:rFonts w:ascii="Helvetica" w:hAnsi="Helvetica" w:cs="Arial"/>
        <w:noProof/>
        <w:sz w:val="16"/>
        <w:lang w:val="it"/>
      </w:rPr>
      <w:drawing>
        <wp:anchor distT="0" distB="0" distL="114300" distR="114300" simplePos="0" relativeHeight="251658241" behindDoc="0" locked="0" layoutInCell="1" allowOverlap="1" wp14:anchorId="66F5B2B3" wp14:editId="3BD54D6C">
          <wp:simplePos x="0" y="0"/>
          <wp:positionH relativeFrom="column">
            <wp:posOffset>5290820</wp:posOffset>
          </wp:positionH>
          <wp:positionV relativeFrom="paragraph">
            <wp:posOffset>-81915</wp:posOffset>
          </wp:positionV>
          <wp:extent cx="914400" cy="199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99390"/>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 w:hAnsi="Helvetica" w:cs="Arial"/>
        <w:noProof/>
        <w:sz w:val="16"/>
        <w:lang w:val="it"/>
      </w:rPr>
      <mc:AlternateContent>
        <mc:Choice Requires="wps">
          <w:drawing>
            <wp:anchor distT="0" distB="0" distL="114300" distR="114300" simplePos="0" relativeHeight="251658242" behindDoc="0" locked="0" layoutInCell="1" allowOverlap="1" wp14:anchorId="7AD575CF" wp14:editId="20EF0BD8">
              <wp:simplePos x="0" y="0"/>
              <wp:positionH relativeFrom="margin">
                <wp:posOffset>-1905</wp:posOffset>
              </wp:positionH>
              <wp:positionV relativeFrom="paragraph">
                <wp:posOffset>149860</wp:posOffset>
              </wp:positionV>
              <wp:extent cx="62103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a:ln>
                        <a:solidFill>
                          <a:srgbClr val="C21B1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5DDD6"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8pt" to="488.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" strokecolor="#c21b17">
              <w10:wrap anchorx="margin"/>
            </v:line>
          </w:pict>
        </mc:Fallback>
      </mc:AlternateContent>
    </w:r>
    <w:r>
      <w:rPr>
        <w:rFonts w:ascii="Helvetica" w:hAnsi="Helvetica" w:cs="Arial"/>
        <w:sz w:val="16"/>
        <w:lang w:val="it"/>
      </w:rPr>
      <w:t>Sintesi dei diritti degli investitori</w:t>
    </w:r>
  </w:p>
  <w:p w14:paraId="57FE083C" w14:textId="77777777" w:rsidR="00650248" w:rsidRDefault="00650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5E2"/>
    <w:multiLevelType w:val="hybridMultilevel"/>
    <w:tmpl w:val="B7943F62"/>
    <w:lvl w:ilvl="0" w:tplc="216CB29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047E4"/>
    <w:multiLevelType w:val="hybridMultilevel"/>
    <w:tmpl w:val="9A4262C4"/>
    <w:lvl w:ilvl="0" w:tplc="216CB29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D768A"/>
    <w:multiLevelType w:val="hybridMultilevel"/>
    <w:tmpl w:val="DBFCD5B2"/>
    <w:lvl w:ilvl="0" w:tplc="87E4D0CA">
      <w:start w:val="1"/>
      <w:numFmt w:val="lowerLetter"/>
      <w:lvlText w:val="%1)"/>
      <w:lvlJc w:val="left"/>
      <w:pPr>
        <w:ind w:left="485" w:hanging="375"/>
      </w:pPr>
      <w:rPr>
        <w:rFonts w:ascii="Arial MT" w:eastAsia="Arial MT" w:hAnsi="Arial MT" w:cs="Arial MT" w:hint="default"/>
        <w:spacing w:val="0"/>
        <w:w w:val="103"/>
        <w:sz w:val="19"/>
        <w:szCs w:val="19"/>
        <w:lang w:val="en-US" w:eastAsia="en-US" w:bidi="ar-SA"/>
      </w:rPr>
    </w:lvl>
    <w:lvl w:ilvl="1" w:tplc="64DCCEF2">
      <w:numFmt w:val="bullet"/>
      <w:lvlText w:val="-"/>
      <w:lvlJc w:val="left"/>
      <w:pPr>
        <w:ind w:left="845" w:hanging="360"/>
      </w:pPr>
      <w:rPr>
        <w:rFonts w:ascii="Calibri" w:eastAsia="Calibri" w:hAnsi="Calibri" w:cs="Calibri" w:hint="default"/>
        <w:w w:val="103"/>
        <w:sz w:val="19"/>
        <w:szCs w:val="19"/>
        <w:lang w:val="en-US" w:eastAsia="en-US" w:bidi="ar-SA"/>
      </w:rPr>
    </w:lvl>
    <w:lvl w:ilvl="2" w:tplc="A60232E8">
      <w:numFmt w:val="bullet"/>
      <w:lvlText w:val="•"/>
      <w:lvlJc w:val="left"/>
      <w:pPr>
        <w:ind w:left="1811" w:hanging="360"/>
      </w:pPr>
      <w:rPr>
        <w:rFonts w:hint="default"/>
        <w:lang w:val="en-US" w:eastAsia="en-US" w:bidi="ar-SA"/>
      </w:rPr>
    </w:lvl>
    <w:lvl w:ilvl="3" w:tplc="5E008F9C">
      <w:numFmt w:val="bullet"/>
      <w:lvlText w:val="•"/>
      <w:lvlJc w:val="left"/>
      <w:pPr>
        <w:ind w:left="2783" w:hanging="360"/>
      </w:pPr>
      <w:rPr>
        <w:rFonts w:hint="default"/>
        <w:lang w:val="en-US" w:eastAsia="en-US" w:bidi="ar-SA"/>
      </w:rPr>
    </w:lvl>
    <w:lvl w:ilvl="4" w:tplc="F2621E24">
      <w:numFmt w:val="bullet"/>
      <w:lvlText w:val="•"/>
      <w:lvlJc w:val="left"/>
      <w:pPr>
        <w:ind w:left="3755" w:hanging="360"/>
      </w:pPr>
      <w:rPr>
        <w:rFonts w:hint="default"/>
        <w:lang w:val="en-US" w:eastAsia="en-US" w:bidi="ar-SA"/>
      </w:rPr>
    </w:lvl>
    <w:lvl w:ilvl="5" w:tplc="B2BC7FE2">
      <w:numFmt w:val="bullet"/>
      <w:lvlText w:val="•"/>
      <w:lvlJc w:val="left"/>
      <w:pPr>
        <w:ind w:left="4726" w:hanging="360"/>
      </w:pPr>
      <w:rPr>
        <w:rFonts w:hint="default"/>
        <w:lang w:val="en-US" w:eastAsia="en-US" w:bidi="ar-SA"/>
      </w:rPr>
    </w:lvl>
    <w:lvl w:ilvl="6" w:tplc="5F9A2684">
      <w:numFmt w:val="bullet"/>
      <w:lvlText w:val="•"/>
      <w:lvlJc w:val="left"/>
      <w:pPr>
        <w:ind w:left="5698" w:hanging="360"/>
      </w:pPr>
      <w:rPr>
        <w:rFonts w:hint="default"/>
        <w:lang w:val="en-US" w:eastAsia="en-US" w:bidi="ar-SA"/>
      </w:rPr>
    </w:lvl>
    <w:lvl w:ilvl="7" w:tplc="03F04E72">
      <w:numFmt w:val="bullet"/>
      <w:lvlText w:val="•"/>
      <w:lvlJc w:val="left"/>
      <w:pPr>
        <w:ind w:left="6670" w:hanging="360"/>
      </w:pPr>
      <w:rPr>
        <w:rFonts w:hint="default"/>
        <w:lang w:val="en-US" w:eastAsia="en-US" w:bidi="ar-SA"/>
      </w:rPr>
    </w:lvl>
    <w:lvl w:ilvl="8" w:tplc="BB96E15E">
      <w:numFmt w:val="bullet"/>
      <w:lvlText w:val="•"/>
      <w:lvlJc w:val="left"/>
      <w:pPr>
        <w:ind w:left="7642" w:hanging="360"/>
      </w:pPr>
      <w:rPr>
        <w:rFonts w:hint="default"/>
        <w:lang w:val="en-US" w:eastAsia="en-US" w:bidi="ar-SA"/>
      </w:rPr>
    </w:lvl>
  </w:abstractNum>
  <w:abstractNum w:abstractNumId="3" w15:restartNumberingAfterBreak="0">
    <w:nsid w:val="37836478"/>
    <w:multiLevelType w:val="hybridMultilevel"/>
    <w:tmpl w:val="5636C0AE"/>
    <w:lvl w:ilvl="0" w:tplc="6332106C">
      <w:start w:val="1"/>
      <w:numFmt w:val="decimal"/>
      <w:lvlText w:val="%1."/>
      <w:lvlJc w:val="left"/>
      <w:pPr>
        <w:ind w:left="470" w:hanging="360"/>
      </w:pPr>
      <w:rPr>
        <w:rFonts w:ascii="Arial" w:eastAsia="Arial" w:hAnsi="Arial" w:cs="Arial" w:hint="default"/>
        <w:b/>
        <w:bCs/>
        <w:spacing w:val="0"/>
        <w:w w:val="103"/>
        <w:sz w:val="19"/>
        <w:szCs w:val="19"/>
        <w:lang w:val="en-US" w:eastAsia="en-US" w:bidi="ar-SA"/>
      </w:rPr>
    </w:lvl>
    <w:lvl w:ilvl="1" w:tplc="6622C24E">
      <w:start w:val="1"/>
      <w:numFmt w:val="lowerLetter"/>
      <w:lvlText w:val="%2)"/>
      <w:lvlJc w:val="left"/>
      <w:pPr>
        <w:ind w:left="819" w:hanging="360"/>
      </w:pPr>
      <w:rPr>
        <w:rFonts w:ascii="Arial MT" w:eastAsia="Arial MT" w:hAnsi="Arial MT" w:cs="Arial MT" w:hint="default"/>
        <w:spacing w:val="0"/>
        <w:w w:val="103"/>
        <w:sz w:val="19"/>
        <w:szCs w:val="19"/>
        <w:lang w:val="en-US" w:eastAsia="en-US" w:bidi="ar-SA"/>
      </w:rPr>
    </w:lvl>
    <w:lvl w:ilvl="2" w:tplc="CA4A0990">
      <w:numFmt w:val="bullet"/>
      <w:lvlText w:val="•"/>
      <w:lvlJc w:val="left"/>
      <w:pPr>
        <w:ind w:left="1793" w:hanging="360"/>
      </w:pPr>
      <w:rPr>
        <w:rFonts w:hint="default"/>
        <w:lang w:val="en-US" w:eastAsia="en-US" w:bidi="ar-SA"/>
      </w:rPr>
    </w:lvl>
    <w:lvl w:ilvl="3" w:tplc="3124C180">
      <w:numFmt w:val="bullet"/>
      <w:lvlText w:val="•"/>
      <w:lvlJc w:val="left"/>
      <w:pPr>
        <w:ind w:left="2767" w:hanging="360"/>
      </w:pPr>
      <w:rPr>
        <w:rFonts w:hint="default"/>
        <w:lang w:val="en-US" w:eastAsia="en-US" w:bidi="ar-SA"/>
      </w:rPr>
    </w:lvl>
    <w:lvl w:ilvl="4" w:tplc="FCDAF64A">
      <w:numFmt w:val="bullet"/>
      <w:lvlText w:val="•"/>
      <w:lvlJc w:val="left"/>
      <w:pPr>
        <w:ind w:left="3741" w:hanging="360"/>
      </w:pPr>
      <w:rPr>
        <w:rFonts w:hint="default"/>
        <w:lang w:val="en-US" w:eastAsia="en-US" w:bidi="ar-SA"/>
      </w:rPr>
    </w:lvl>
    <w:lvl w:ilvl="5" w:tplc="FFAC0976">
      <w:numFmt w:val="bullet"/>
      <w:lvlText w:val="•"/>
      <w:lvlJc w:val="left"/>
      <w:pPr>
        <w:ind w:left="4715" w:hanging="360"/>
      </w:pPr>
      <w:rPr>
        <w:rFonts w:hint="default"/>
        <w:lang w:val="en-US" w:eastAsia="en-US" w:bidi="ar-SA"/>
      </w:rPr>
    </w:lvl>
    <w:lvl w:ilvl="6" w:tplc="723E4E42">
      <w:numFmt w:val="bullet"/>
      <w:lvlText w:val="•"/>
      <w:lvlJc w:val="left"/>
      <w:pPr>
        <w:ind w:left="5689" w:hanging="360"/>
      </w:pPr>
      <w:rPr>
        <w:rFonts w:hint="default"/>
        <w:lang w:val="en-US" w:eastAsia="en-US" w:bidi="ar-SA"/>
      </w:rPr>
    </w:lvl>
    <w:lvl w:ilvl="7" w:tplc="A4EC6F3E">
      <w:numFmt w:val="bullet"/>
      <w:lvlText w:val="•"/>
      <w:lvlJc w:val="left"/>
      <w:pPr>
        <w:ind w:left="6663" w:hanging="360"/>
      </w:pPr>
      <w:rPr>
        <w:rFonts w:hint="default"/>
        <w:lang w:val="en-US" w:eastAsia="en-US" w:bidi="ar-SA"/>
      </w:rPr>
    </w:lvl>
    <w:lvl w:ilvl="8" w:tplc="038206BC">
      <w:numFmt w:val="bullet"/>
      <w:lvlText w:val="•"/>
      <w:lvlJc w:val="left"/>
      <w:pPr>
        <w:ind w:left="7637" w:hanging="360"/>
      </w:pPr>
      <w:rPr>
        <w:rFonts w:hint="default"/>
        <w:lang w:val="en-US" w:eastAsia="en-US" w:bidi="ar-SA"/>
      </w:rPr>
    </w:lvl>
  </w:abstractNum>
  <w:abstractNum w:abstractNumId="4" w15:restartNumberingAfterBreak="0">
    <w:nsid w:val="395D74B0"/>
    <w:multiLevelType w:val="hybridMultilevel"/>
    <w:tmpl w:val="BC72E828"/>
    <w:lvl w:ilvl="0" w:tplc="CA46938A">
      <w:start w:val="1"/>
      <w:numFmt w:val="lowerLetter"/>
      <w:lvlText w:val="%1)"/>
      <w:lvlJc w:val="left"/>
      <w:pPr>
        <w:ind w:left="470" w:hanging="360"/>
      </w:pPr>
      <w:rPr>
        <w:rFonts w:ascii="Arial MT" w:eastAsia="Arial MT" w:hAnsi="Arial MT" w:cs="Arial MT" w:hint="default"/>
        <w:spacing w:val="0"/>
        <w:w w:val="103"/>
        <w:sz w:val="19"/>
        <w:szCs w:val="19"/>
        <w:lang w:val="en-US" w:eastAsia="en-US" w:bidi="ar-SA"/>
      </w:rPr>
    </w:lvl>
    <w:lvl w:ilvl="1" w:tplc="950ED992">
      <w:numFmt w:val="bullet"/>
      <w:lvlText w:val="•"/>
      <w:lvlJc w:val="left"/>
      <w:pPr>
        <w:ind w:left="1390" w:hanging="360"/>
      </w:pPr>
      <w:rPr>
        <w:rFonts w:hint="default"/>
        <w:lang w:val="en-US" w:eastAsia="en-US" w:bidi="ar-SA"/>
      </w:rPr>
    </w:lvl>
    <w:lvl w:ilvl="2" w:tplc="340E701E">
      <w:numFmt w:val="bullet"/>
      <w:lvlText w:val="•"/>
      <w:lvlJc w:val="left"/>
      <w:pPr>
        <w:ind w:left="2301" w:hanging="360"/>
      </w:pPr>
      <w:rPr>
        <w:rFonts w:hint="default"/>
        <w:lang w:val="en-US" w:eastAsia="en-US" w:bidi="ar-SA"/>
      </w:rPr>
    </w:lvl>
    <w:lvl w:ilvl="3" w:tplc="A4B0A80C">
      <w:numFmt w:val="bullet"/>
      <w:lvlText w:val="•"/>
      <w:lvlJc w:val="left"/>
      <w:pPr>
        <w:ind w:left="3211" w:hanging="360"/>
      </w:pPr>
      <w:rPr>
        <w:rFonts w:hint="default"/>
        <w:lang w:val="en-US" w:eastAsia="en-US" w:bidi="ar-SA"/>
      </w:rPr>
    </w:lvl>
    <w:lvl w:ilvl="4" w:tplc="84644FF8">
      <w:numFmt w:val="bullet"/>
      <w:lvlText w:val="•"/>
      <w:lvlJc w:val="left"/>
      <w:pPr>
        <w:ind w:left="4122" w:hanging="360"/>
      </w:pPr>
      <w:rPr>
        <w:rFonts w:hint="default"/>
        <w:lang w:val="en-US" w:eastAsia="en-US" w:bidi="ar-SA"/>
      </w:rPr>
    </w:lvl>
    <w:lvl w:ilvl="5" w:tplc="5BA667D4">
      <w:numFmt w:val="bullet"/>
      <w:lvlText w:val="•"/>
      <w:lvlJc w:val="left"/>
      <w:pPr>
        <w:ind w:left="5032" w:hanging="360"/>
      </w:pPr>
      <w:rPr>
        <w:rFonts w:hint="default"/>
        <w:lang w:val="en-US" w:eastAsia="en-US" w:bidi="ar-SA"/>
      </w:rPr>
    </w:lvl>
    <w:lvl w:ilvl="6" w:tplc="A852F7FE">
      <w:numFmt w:val="bullet"/>
      <w:lvlText w:val="•"/>
      <w:lvlJc w:val="left"/>
      <w:pPr>
        <w:ind w:left="5943" w:hanging="360"/>
      </w:pPr>
      <w:rPr>
        <w:rFonts w:hint="default"/>
        <w:lang w:val="en-US" w:eastAsia="en-US" w:bidi="ar-SA"/>
      </w:rPr>
    </w:lvl>
    <w:lvl w:ilvl="7" w:tplc="6B609850">
      <w:numFmt w:val="bullet"/>
      <w:lvlText w:val="•"/>
      <w:lvlJc w:val="left"/>
      <w:pPr>
        <w:ind w:left="6853" w:hanging="360"/>
      </w:pPr>
      <w:rPr>
        <w:rFonts w:hint="default"/>
        <w:lang w:val="en-US" w:eastAsia="en-US" w:bidi="ar-SA"/>
      </w:rPr>
    </w:lvl>
    <w:lvl w:ilvl="8" w:tplc="A15CEF84">
      <w:numFmt w:val="bullet"/>
      <w:lvlText w:val="•"/>
      <w:lvlJc w:val="left"/>
      <w:pPr>
        <w:ind w:left="7764" w:hanging="360"/>
      </w:pPr>
      <w:rPr>
        <w:rFonts w:hint="default"/>
        <w:lang w:val="en-US" w:eastAsia="en-US" w:bidi="ar-SA"/>
      </w:rPr>
    </w:lvl>
  </w:abstractNum>
  <w:abstractNum w:abstractNumId="5" w15:restartNumberingAfterBreak="0">
    <w:nsid w:val="53907BC2"/>
    <w:multiLevelType w:val="hybridMultilevel"/>
    <w:tmpl w:val="E1E47E50"/>
    <w:lvl w:ilvl="0" w:tplc="27A073C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812B6C"/>
    <w:multiLevelType w:val="hybridMultilevel"/>
    <w:tmpl w:val="EC3405DA"/>
    <w:lvl w:ilvl="0" w:tplc="96BAECEE">
      <w:start w:val="2"/>
      <w:numFmt w:val="bullet"/>
      <w:lvlText w:val="-"/>
      <w:lvlJc w:val="left"/>
      <w:pPr>
        <w:ind w:left="720" w:hanging="360"/>
      </w:pPr>
      <w:rPr>
        <w:rFonts w:ascii="Arial MT" w:eastAsia="Calibri" w:hAnsi="Arial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F6DDC"/>
    <w:multiLevelType w:val="multilevel"/>
    <w:tmpl w:val="AF1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370844"/>
    <w:multiLevelType w:val="hybridMultilevel"/>
    <w:tmpl w:val="5AB6798A"/>
    <w:lvl w:ilvl="0" w:tplc="FAD45C04">
      <w:start w:val="2"/>
      <w:numFmt w:val="bullet"/>
      <w:lvlText w:val="-"/>
      <w:lvlJc w:val="left"/>
      <w:pPr>
        <w:ind w:left="720" w:hanging="360"/>
      </w:pPr>
      <w:rPr>
        <w:rFonts w:ascii="Arial MT" w:eastAsia="Calibri" w:hAnsi="Arial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01"/>
    <w:multiLevelType w:val="hybridMultilevel"/>
    <w:tmpl w:val="2AA8EB7C"/>
    <w:lvl w:ilvl="0" w:tplc="3E907274">
      <w:start w:val="2"/>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D77F7"/>
    <w:multiLevelType w:val="hybridMultilevel"/>
    <w:tmpl w:val="09DC7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541028">
    <w:abstractNumId w:val="4"/>
  </w:num>
  <w:num w:numId="2" w16cid:durableId="1901668556">
    <w:abstractNumId w:val="2"/>
  </w:num>
  <w:num w:numId="3" w16cid:durableId="986782961">
    <w:abstractNumId w:val="3"/>
  </w:num>
  <w:num w:numId="4" w16cid:durableId="1481770006">
    <w:abstractNumId w:val="5"/>
  </w:num>
  <w:num w:numId="5" w16cid:durableId="1463963570">
    <w:abstractNumId w:val="0"/>
  </w:num>
  <w:num w:numId="6" w16cid:durableId="251282399">
    <w:abstractNumId w:val="1"/>
  </w:num>
  <w:num w:numId="7" w16cid:durableId="141435145">
    <w:abstractNumId w:val="10"/>
  </w:num>
  <w:num w:numId="8" w16cid:durableId="757018464">
    <w:abstractNumId w:val="8"/>
  </w:num>
  <w:num w:numId="9" w16cid:durableId="1909147418">
    <w:abstractNumId w:val="9"/>
  </w:num>
  <w:num w:numId="10" w16cid:durableId="736318815">
    <w:abstractNumId w:val="6"/>
  </w:num>
  <w:num w:numId="11" w16cid:durableId="1260068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22"/>
    <w:rsid w:val="00017F24"/>
    <w:rsid w:val="00071B0D"/>
    <w:rsid w:val="00077B1E"/>
    <w:rsid w:val="00095CE1"/>
    <w:rsid w:val="000A57EC"/>
    <w:rsid w:val="000D4C35"/>
    <w:rsid w:val="000D5801"/>
    <w:rsid w:val="000E140E"/>
    <w:rsid w:val="000E399B"/>
    <w:rsid w:val="000E5444"/>
    <w:rsid w:val="001558D0"/>
    <w:rsid w:val="00156647"/>
    <w:rsid w:val="00172D8A"/>
    <w:rsid w:val="00173EEF"/>
    <w:rsid w:val="00182E92"/>
    <w:rsid w:val="00183165"/>
    <w:rsid w:val="001A1D04"/>
    <w:rsid w:val="001A5C11"/>
    <w:rsid w:val="00210EC3"/>
    <w:rsid w:val="002174D8"/>
    <w:rsid w:val="00217D73"/>
    <w:rsid w:val="0022738B"/>
    <w:rsid w:val="00235669"/>
    <w:rsid w:val="00257CAC"/>
    <w:rsid w:val="00276403"/>
    <w:rsid w:val="002A5FD9"/>
    <w:rsid w:val="002A6642"/>
    <w:rsid w:val="002E3BEC"/>
    <w:rsid w:val="002F323D"/>
    <w:rsid w:val="00371C04"/>
    <w:rsid w:val="00386190"/>
    <w:rsid w:val="003869AF"/>
    <w:rsid w:val="003A203C"/>
    <w:rsid w:val="003E6B4B"/>
    <w:rsid w:val="003E6E4A"/>
    <w:rsid w:val="003F3CDC"/>
    <w:rsid w:val="004161FD"/>
    <w:rsid w:val="00425E17"/>
    <w:rsid w:val="00427343"/>
    <w:rsid w:val="004335B0"/>
    <w:rsid w:val="004420B7"/>
    <w:rsid w:val="0045334D"/>
    <w:rsid w:val="004563EA"/>
    <w:rsid w:val="004816D9"/>
    <w:rsid w:val="00487261"/>
    <w:rsid w:val="00495CD3"/>
    <w:rsid w:val="004B48CB"/>
    <w:rsid w:val="004B4965"/>
    <w:rsid w:val="004F1BF6"/>
    <w:rsid w:val="004F1DC3"/>
    <w:rsid w:val="004F637F"/>
    <w:rsid w:val="00522898"/>
    <w:rsid w:val="00535491"/>
    <w:rsid w:val="005368DB"/>
    <w:rsid w:val="00553FEB"/>
    <w:rsid w:val="0056734C"/>
    <w:rsid w:val="005827DC"/>
    <w:rsid w:val="005B10C9"/>
    <w:rsid w:val="005B306A"/>
    <w:rsid w:val="005B4128"/>
    <w:rsid w:val="005C1811"/>
    <w:rsid w:val="005C1E5E"/>
    <w:rsid w:val="00630275"/>
    <w:rsid w:val="00630C37"/>
    <w:rsid w:val="00644FEA"/>
    <w:rsid w:val="00650248"/>
    <w:rsid w:val="006A43CD"/>
    <w:rsid w:val="006F3695"/>
    <w:rsid w:val="00705A09"/>
    <w:rsid w:val="00706116"/>
    <w:rsid w:val="0073276F"/>
    <w:rsid w:val="00750D3A"/>
    <w:rsid w:val="00753AFE"/>
    <w:rsid w:val="00780B1D"/>
    <w:rsid w:val="00783E19"/>
    <w:rsid w:val="007A25F5"/>
    <w:rsid w:val="007A4757"/>
    <w:rsid w:val="007A4E0C"/>
    <w:rsid w:val="007B092E"/>
    <w:rsid w:val="007B7E52"/>
    <w:rsid w:val="007D4467"/>
    <w:rsid w:val="007F0089"/>
    <w:rsid w:val="007F1173"/>
    <w:rsid w:val="0080317C"/>
    <w:rsid w:val="0082151C"/>
    <w:rsid w:val="00850799"/>
    <w:rsid w:val="008620C0"/>
    <w:rsid w:val="008B505C"/>
    <w:rsid w:val="008E47D0"/>
    <w:rsid w:val="0092061D"/>
    <w:rsid w:val="00931FD7"/>
    <w:rsid w:val="00933034"/>
    <w:rsid w:val="00934616"/>
    <w:rsid w:val="00956ACD"/>
    <w:rsid w:val="00966122"/>
    <w:rsid w:val="00967B2A"/>
    <w:rsid w:val="00993A15"/>
    <w:rsid w:val="009979E8"/>
    <w:rsid w:val="009B1AA0"/>
    <w:rsid w:val="009E1591"/>
    <w:rsid w:val="00A026F1"/>
    <w:rsid w:val="00A11ADF"/>
    <w:rsid w:val="00A11B81"/>
    <w:rsid w:val="00A3200A"/>
    <w:rsid w:val="00A6094F"/>
    <w:rsid w:val="00A6171B"/>
    <w:rsid w:val="00A92A36"/>
    <w:rsid w:val="00AA65A5"/>
    <w:rsid w:val="00AB434E"/>
    <w:rsid w:val="00AB6538"/>
    <w:rsid w:val="00AC2595"/>
    <w:rsid w:val="00AD7C45"/>
    <w:rsid w:val="00AE0C61"/>
    <w:rsid w:val="00AF41B0"/>
    <w:rsid w:val="00B1450B"/>
    <w:rsid w:val="00B2098F"/>
    <w:rsid w:val="00B31C96"/>
    <w:rsid w:val="00B3226A"/>
    <w:rsid w:val="00B50FDB"/>
    <w:rsid w:val="00B54F42"/>
    <w:rsid w:val="00BA21C0"/>
    <w:rsid w:val="00BB16A0"/>
    <w:rsid w:val="00BC2B99"/>
    <w:rsid w:val="00BE6FCE"/>
    <w:rsid w:val="00BF74F7"/>
    <w:rsid w:val="00C20359"/>
    <w:rsid w:val="00C60191"/>
    <w:rsid w:val="00C93329"/>
    <w:rsid w:val="00CB4540"/>
    <w:rsid w:val="00CD5B0A"/>
    <w:rsid w:val="00CD70FA"/>
    <w:rsid w:val="00D1589B"/>
    <w:rsid w:val="00D15C7D"/>
    <w:rsid w:val="00D52C0F"/>
    <w:rsid w:val="00D6407F"/>
    <w:rsid w:val="00D715C2"/>
    <w:rsid w:val="00D851F5"/>
    <w:rsid w:val="00D91B7B"/>
    <w:rsid w:val="00D96FA5"/>
    <w:rsid w:val="00DB7B71"/>
    <w:rsid w:val="00DC618C"/>
    <w:rsid w:val="00DE67E3"/>
    <w:rsid w:val="00DE7B28"/>
    <w:rsid w:val="00DF05A1"/>
    <w:rsid w:val="00E22DF5"/>
    <w:rsid w:val="00E30F46"/>
    <w:rsid w:val="00E51EF7"/>
    <w:rsid w:val="00E5641F"/>
    <w:rsid w:val="00E65D4A"/>
    <w:rsid w:val="00E753A5"/>
    <w:rsid w:val="00E80DB1"/>
    <w:rsid w:val="00EA2731"/>
    <w:rsid w:val="00F30104"/>
    <w:rsid w:val="00F31127"/>
    <w:rsid w:val="00F348ED"/>
    <w:rsid w:val="00F4036F"/>
    <w:rsid w:val="00F44FA5"/>
    <w:rsid w:val="00F578EE"/>
    <w:rsid w:val="00FB7E3E"/>
    <w:rsid w:val="00FC7FE6"/>
    <w:rsid w:val="00FD0F39"/>
    <w:rsid w:val="00FE1161"/>
    <w:rsid w:val="00FE62FA"/>
    <w:rsid w:val="00FF253A"/>
    <w:rsid w:val="02945C86"/>
    <w:rsid w:val="0BCB663F"/>
    <w:rsid w:val="0F9585E4"/>
    <w:rsid w:val="12A54FB5"/>
    <w:rsid w:val="14FCA2D7"/>
    <w:rsid w:val="1A49A617"/>
    <w:rsid w:val="1AFAD3FE"/>
    <w:rsid w:val="2AAFF0FF"/>
    <w:rsid w:val="2D7F86A9"/>
    <w:rsid w:val="310FC142"/>
    <w:rsid w:val="31769F47"/>
    <w:rsid w:val="40D5230F"/>
    <w:rsid w:val="42B411E3"/>
    <w:rsid w:val="432ABC6C"/>
    <w:rsid w:val="47D34FD3"/>
    <w:rsid w:val="499D7F97"/>
    <w:rsid w:val="52A669E9"/>
    <w:rsid w:val="56C7664C"/>
    <w:rsid w:val="583D3A3F"/>
    <w:rsid w:val="60419540"/>
    <w:rsid w:val="62FE1136"/>
    <w:rsid w:val="67E9FA41"/>
    <w:rsid w:val="683387FF"/>
    <w:rsid w:val="6D3C900C"/>
    <w:rsid w:val="6F857CCD"/>
    <w:rsid w:val="73BDA2CC"/>
    <w:rsid w:val="740AC087"/>
    <w:rsid w:val="76ADEEDE"/>
    <w:rsid w:val="773FDEAA"/>
    <w:rsid w:val="786ADF4E"/>
    <w:rsid w:val="79C03EBE"/>
    <w:rsid w:val="7C5301DF"/>
    <w:rsid w:val="7DFC20B7"/>
    <w:rsid w:val="7EB71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39A7"/>
  <w15:docId w15:val="{7B03A3CB-1834-4167-B9C9-72DFA3D9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70" w:hanging="361"/>
      <w:outlineLvl w:val="0"/>
    </w:pPr>
    <w:rPr>
      <w:rFonts w:ascii="Arial" w:eastAsia="Arial" w:hAnsi="Arial" w:cs="Arial"/>
      <w:b/>
      <w:bCs/>
      <w:sz w:val="19"/>
      <w:szCs w:val="19"/>
    </w:rPr>
  </w:style>
  <w:style w:type="paragraph" w:styleId="Heading2">
    <w:name w:val="heading 2"/>
    <w:basedOn w:val="Normal"/>
    <w:next w:val="Normal"/>
    <w:link w:val="Heading2Char"/>
    <w:uiPriority w:val="9"/>
    <w:semiHidden/>
    <w:unhideWhenUsed/>
    <w:qFormat/>
    <w:rsid w:val="003861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5"/>
      <w:ind w:left="60"/>
    </w:pPr>
    <w:rPr>
      <w:rFonts w:ascii="Calibri" w:eastAsia="Calibri" w:hAnsi="Calibri" w:cs="Calibri"/>
      <w:sz w:val="21"/>
      <w:szCs w:val="21"/>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customStyle="1" w:styleId="Default">
    <w:name w:val="Default"/>
    <w:rsid w:val="006F3695"/>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D6407F"/>
    <w:pPr>
      <w:tabs>
        <w:tab w:val="center" w:pos="4680"/>
        <w:tab w:val="right" w:pos="9360"/>
      </w:tabs>
    </w:pPr>
  </w:style>
  <w:style w:type="character" w:customStyle="1" w:styleId="HeaderChar">
    <w:name w:val="Header Char"/>
    <w:basedOn w:val="DefaultParagraphFont"/>
    <w:link w:val="Header"/>
    <w:uiPriority w:val="99"/>
    <w:rsid w:val="00D6407F"/>
    <w:rPr>
      <w:rFonts w:ascii="Arial MT" w:eastAsia="Arial MT" w:hAnsi="Arial MT" w:cs="Arial MT"/>
    </w:rPr>
  </w:style>
  <w:style w:type="paragraph" w:styleId="Footer">
    <w:name w:val="footer"/>
    <w:basedOn w:val="Normal"/>
    <w:link w:val="FooterChar"/>
    <w:uiPriority w:val="99"/>
    <w:unhideWhenUsed/>
    <w:rsid w:val="00D6407F"/>
    <w:pPr>
      <w:tabs>
        <w:tab w:val="center" w:pos="4680"/>
        <w:tab w:val="right" w:pos="9360"/>
      </w:tabs>
    </w:pPr>
  </w:style>
  <w:style w:type="character" w:customStyle="1" w:styleId="FooterChar">
    <w:name w:val="Footer Char"/>
    <w:basedOn w:val="DefaultParagraphFont"/>
    <w:link w:val="Footer"/>
    <w:uiPriority w:val="99"/>
    <w:rsid w:val="00D6407F"/>
    <w:rPr>
      <w:rFonts w:ascii="Arial MT" w:eastAsia="Arial MT" w:hAnsi="Arial MT" w:cs="Arial MT"/>
    </w:rPr>
  </w:style>
  <w:style w:type="character" w:customStyle="1" w:styleId="Heading2Char">
    <w:name w:val="Heading 2 Char"/>
    <w:basedOn w:val="DefaultParagraphFont"/>
    <w:link w:val="Heading2"/>
    <w:uiPriority w:val="9"/>
    <w:semiHidden/>
    <w:rsid w:val="0038619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86190"/>
    <w:rPr>
      <w:sz w:val="16"/>
      <w:szCs w:val="16"/>
    </w:rPr>
  </w:style>
  <w:style w:type="paragraph" w:customStyle="1" w:styleId="CommentText1">
    <w:name w:val="Comment Text1"/>
    <w:basedOn w:val="Normal"/>
    <w:next w:val="CommentText"/>
    <w:link w:val="CommentTextChar"/>
    <w:uiPriority w:val="99"/>
    <w:semiHidden/>
    <w:unhideWhenUsed/>
    <w:rsid w:val="00386190"/>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386190"/>
    <w:rPr>
      <w:sz w:val="20"/>
      <w:szCs w:val="20"/>
    </w:rPr>
  </w:style>
  <w:style w:type="paragraph" w:styleId="CommentText">
    <w:name w:val="annotation text"/>
    <w:basedOn w:val="Normal"/>
    <w:link w:val="CommentTextChar1"/>
    <w:uiPriority w:val="99"/>
    <w:unhideWhenUsed/>
    <w:rsid w:val="00386190"/>
    <w:rPr>
      <w:sz w:val="20"/>
      <w:szCs w:val="20"/>
    </w:rPr>
  </w:style>
  <w:style w:type="character" w:customStyle="1" w:styleId="CommentTextChar1">
    <w:name w:val="Comment Text Char1"/>
    <w:basedOn w:val="DefaultParagraphFont"/>
    <w:link w:val="CommentText"/>
    <w:uiPriority w:val="99"/>
    <w:rsid w:val="0038619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86190"/>
    <w:rPr>
      <w:b/>
      <w:bCs/>
    </w:rPr>
  </w:style>
  <w:style w:type="character" w:customStyle="1" w:styleId="CommentSubjectChar">
    <w:name w:val="Comment Subject Char"/>
    <w:basedOn w:val="CommentTextChar1"/>
    <w:link w:val="CommentSubject"/>
    <w:uiPriority w:val="99"/>
    <w:semiHidden/>
    <w:rsid w:val="00386190"/>
    <w:rPr>
      <w:rFonts w:ascii="Arial MT" w:eastAsia="Arial MT" w:hAnsi="Arial MT" w:cs="Arial MT"/>
      <w:b/>
      <w:bCs/>
      <w:sz w:val="20"/>
      <w:szCs w:val="20"/>
    </w:rPr>
  </w:style>
  <w:style w:type="character" w:styleId="Hyperlink">
    <w:name w:val="Hyperlink"/>
    <w:basedOn w:val="DefaultParagraphFont"/>
    <w:uiPriority w:val="99"/>
    <w:unhideWhenUsed/>
    <w:rsid w:val="008B505C"/>
    <w:rPr>
      <w:color w:val="0000FF" w:themeColor="hyperlink"/>
      <w:u w:val="single"/>
    </w:rPr>
  </w:style>
  <w:style w:type="character" w:styleId="UnresolvedMention">
    <w:name w:val="Unresolved Mention"/>
    <w:basedOn w:val="DefaultParagraphFont"/>
    <w:uiPriority w:val="99"/>
    <w:semiHidden/>
    <w:unhideWhenUsed/>
    <w:rsid w:val="008B505C"/>
    <w:rPr>
      <w:color w:val="605E5C"/>
      <w:shd w:val="clear" w:color="auto" w:fill="E1DFDD"/>
    </w:rPr>
  </w:style>
  <w:style w:type="paragraph" w:styleId="Revision">
    <w:name w:val="Revision"/>
    <w:hidden/>
    <w:uiPriority w:val="99"/>
    <w:semiHidden/>
    <w:rsid w:val="002E3BEC"/>
    <w:pPr>
      <w:widowControl/>
      <w:autoSpaceDE/>
      <w:autoSpaceDN/>
    </w:pPr>
    <w:rPr>
      <w:rFonts w:ascii="Arial MT" w:eastAsia="Arial MT" w:hAnsi="Arial MT" w:cs="Arial MT"/>
    </w:rPr>
  </w:style>
  <w:style w:type="paragraph" w:styleId="BalloonText">
    <w:name w:val="Balloon Text"/>
    <w:basedOn w:val="Normal"/>
    <w:link w:val="BalloonTextChar"/>
    <w:uiPriority w:val="99"/>
    <w:semiHidden/>
    <w:unhideWhenUsed/>
    <w:rsid w:val="00BE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CE"/>
    <w:rPr>
      <w:rFonts w:ascii="Segoe UI" w:eastAsia="Arial MT" w:hAnsi="Segoe UI" w:cs="Segoe UI"/>
      <w:sz w:val="18"/>
      <w:szCs w:val="18"/>
    </w:rPr>
  </w:style>
  <w:style w:type="table" w:styleId="TableGrid">
    <w:name w:val="Table Grid"/>
    <w:basedOn w:val="TableNormal"/>
    <w:uiPriority w:val="39"/>
    <w:rsid w:val="0064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48C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1589B"/>
    <w:rPr>
      <w:b/>
      <w:bCs/>
    </w:rPr>
  </w:style>
  <w:style w:type="character" w:styleId="FollowedHyperlink">
    <w:name w:val="FollowedHyperlink"/>
    <w:basedOn w:val="DefaultParagraphFont"/>
    <w:uiPriority w:val="99"/>
    <w:semiHidden/>
    <w:unhideWhenUsed/>
    <w:rsid w:val="005673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7402">
      <w:bodyDiv w:val="1"/>
      <w:marLeft w:val="0"/>
      <w:marRight w:val="0"/>
      <w:marTop w:val="0"/>
      <w:marBottom w:val="0"/>
      <w:divBdr>
        <w:top w:val="none" w:sz="0" w:space="0" w:color="auto"/>
        <w:left w:val="none" w:sz="0" w:space="0" w:color="auto"/>
        <w:bottom w:val="none" w:sz="0" w:space="0" w:color="auto"/>
        <w:right w:val="none" w:sz="0" w:space="0" w:color="auto"/>
      </w:divBdr>
    </w:div>
    <w:div w:id="1344864759">
      <w:bodyDiv w:val="1"/>
      <w:marLeft w:val="0"/>
      <w:marRight w:val="0"/>
      <w:marTop w:val="0"/>
      <w:marBottom w:val="0"/>
      <w:divBdr>
        <w:top w:val="none" w:sz="0" w:space="0" w:color="auto"/>
        <w:left w:val="none" w:sz="0" w:space="0" w:color="auto"/>
        <w:bottom w:val="none" w:sz="0" w:space="0" w:color="auto"/>
        <w:right w:val="none" w:sz="0" w:space="0" w:color="auto"/>
      </w:divBdr>
    </w:div>
    <w:div w:id="1876651264">
      <w:bodyDiv w:val="1"/>
      <w:marLeft w:val="0"/>
      <w:marRight w:val="0"/>
      <w:marTop w:val="0"/>
      <w:marBottom w:val="0"/>
      <w:divBdr>
        <w:top w:val="none" w:sz="0" w:space="0" w:color="auto"/>
        <w:left w:val="none" w:sz="0" w:space="0" w:color="auto"/>
        <w:bottom w:val="none" w:sz="0" w:space="0" w:color="auto"/>
        <w:right w:val="none" w:sz="0" w:space="0" w:color="auto"/>
      </w:divBdr>
    </w:div>
    <w:div w:id="202547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cf@consob.it" TargetMode="External"/><Relationship Id="rId18" Type="http://schemas.openxmlformats.org/officeDocument/2006/relationships/hyperlink" Target="mailto:reclamation@cssf.lu" TargetMode="External"/><Relationship Id="rId3" Type="http://schemas.openxmlformats.org/officeDocument/2006/relationships/customXml" Target="../customXml/item3.xml"/><Relationship Id="rId21" Type="http://schemas.openxmlformats.org/officeDocument/2006/relationships/hyperlink" Target="http://eur-lex.europa.eu/LexUriServ/LexUriServ.do?uri=OJ:L:2013:165:0063:0079:EN:PDF" TargetMode="External"/><Relationship Id="rId7" Type="http://schemas.openxmlformats.org/officeDocument/2006/relationships/settings" Target="settings.xml"/><Relationship Id="rId12" Type="http://schemas.openxmlformats.org/officeDocument/2006/relationships/hyperlink" Target="http://www.ombudsstelle-investmentfonds.de/" TargetMode="External"/><Relationship Id="rId17" Type="http://schemas.openxmlformats.org/officeDocument/2006/relationships/hyperlink" Target="mailto:roma.abf.segreteriatecnica@bancaditalia.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bf@bancaditalia.it" TargetMode="External"/><Relationship Id="rId20" Type="http://schemas.openxmlformats.org/officeDocument/2006/relationships/hyperlink" Target="http://www.bde.es/bde/es/secciones/servicios/Particulares_y_e/Servicio_de_Re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verbraucherschlichtung.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vass@pec.ivass.i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clamations.apps.cssf.lu/index.html?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rivi@ivass.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73284a-df89-489a-aa39-b36487b94bb7" xsi:nil="true"/>
    <lcf76f155ced4ddcb4097134ff3c332f xmlns="fbd397cb-dd76-42fc-b3b0-f37c841fb1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D36D2E5D50549BA5C220E8FB70EAD" ma:contentTypeVersion="15" ma:contentTypeDescription="Create a new document." ma:contentTypeScope="" ma:versionID="13b98d3fe1f6df387192082d3cf28cad">
  <xsd:schema xmlns:xsd="http://www.w3.org/2001/XMLSchema" xmlns:xs="http://www.w3.org/2001/XMLSchema" xmlns:p="http://schemas.microsoft.com/office/2006/metadata/properties" xmlns:ns2="fbd397cb-dd76-42fc-b3b0-f37c841fb143" xmlns:ns3="1373284a-df89-489a-aa39-b36487b94bb7" targetNamespace="http://schemas.microsoft.com/office/2006/metadata/properties" ma:root="true" ma:fieldsID="05a85f61a943fd1845988efda504cbd0" ns2:_="" ns3:_="">
    <xsd:import namespace="fbd397cb-dd76-42fc-b3b0-f37c841fb143"/>
    <xsd:import namespace="1373284a-df89-489a-aa39-b36487b94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397cb-dd76-42fc-b3b0-f37c841f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dc0593-f3e8-4d8f-9444-1448c29afd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73284a-df89-489a-aa39-b36487b94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0f7645-1554-4bce-803d-3f2f8f82244f}" ma:internalName="TaxCatchAll" ma:showField="CatchAllData" ma:web="1373284a-df89-489a-aa39-b36487b94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5F1E-3F11-47CB-98CF-788495F3354F}">
  <ds:schemaRefs>
    <ds:schemaRef ds:uri="http://schemas.microsoft.com/office/2006/metadata/properties"/>
    <ds:schemaRef ds:uri="http://schemas.microsoft.com/office/infopath/2007/PartnerControls"/>
    <ds:schemaRef ds:uri="1373284a-df89-489a-aa39-b36487b94bb7"/>
    <ds:schemaRef ds:uri="fbd397cb-dd76-42fc-b3b0-f37c841fb143"/>
  </ds:schemaRefs>
</ds:datastoreItem>
</file>

<file path=customXml/itemProps2.xml><?xml version="1.0" encoding="utf-8"?>
<ds:datastoreItem xmlns:ds="http://schemas.openxmlformats.org/officeDocument/2006/customXml" ds:itemID="{B1411770-8AA1-41DE-BD01-0641356C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397cb-dd76-42fc-b3b0-f37c841fb143"/>
    <ds:schemaRef ds:uri="1373284a-df89-489a-aa39-b36487b9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4C2DF-0439-43E1-A182-52E42B74588E}">
  <ds:schemaRefs>
    <ds:schemaRef ds:uri="http://schemas.microsoft.com/sharepoint/v3/contenttype/forms"/>
  </ds:schemaRefs>
</ds:datastoreItem>
</file>

<file path=customXml/itemProps4.xml><?xml version="1.0" encoding="utf-8"?>
<ds:datastoreItem xmlns:ds="http://schemas.openxmlformats.org/officeDocument/2006/customXml" ds:itemID="{A03D6E9F-5727-4D71-889C-7241FB046F7E}">
  <ds:schemaRefs>
    <ds:schemaRef ds:uri="http://schemas.openxmlformats.org/officeDocument/2006/bibliography"/>
  </ds:schemaRefs>
</ds:datastoreItem>
</file>

<file path=docMetadata/LabelInfo.xml><?xml version="1.0" encoding="utf-8"?>
<clbl:labelList xmlns:clbl="http://schemas.microsoft.com/office/2020/mipLabelMetadata">
  <clbl:label id="{b1dfe5ef-5b54-4e00-a32e-e41c5df13045}" enabled="1" method="Privileged" siteId="{5e1f514e-f36b-4070-bbd5-fbce4f75d5a1}"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Links>
    <vt:vector size="78" baseType="variant">
      <vt:variant>
        <vt:i4>5701661</vt:i4>
      </vt:variant>
      <vt:variant>
        <vt:i4>39</vt:i4>
      </vt:variant>
      <vt:variant>
        <vt:i4>0</vt:i4>
      </vt:variant>
      <vt:variant>
        <vt:i4>5</vt:i4>
      </vt:variant>
      <vt:variant>
        <vt:lpwstr>http://eur-lex.europa.eu/LexUriServ/LexUriServ.do?uri=OJ:L:2013:165:0063:0079:EN:PDF</vt:lpwstr>
      </vt:variant>
      <vt:variant>
        <vt:lpwstr/>
      </vt:variant>
      <vt:variant>
        <vt:i4>5242906</vt:i4>
      </vt:variant>
      <vt:variant>
        <vt:i4>36</vt:i4>
      </vt:variant>
      <vt:variant>
        <vt:i4>0</vt:i4>
      </vt:variant>
      <vt:variant>
        <vt:i4>5</vt:i4>
      </vt:variant>
      <vt:variant>
        <vt:lpwstr>http://www.bde.es/bde/es/secciones/servicios/Particulares_y_e/Servicio_de_Recl/</vt:lpwstr>
      </vt:variant>
      <vt:variant>
        <vt:lpwstr/>
      </vt:variant>
      <vt:variant>
        <vt:i4>655384</vt:i4>
      </vt:variant>
      <vt:variant>
        <vt:i4>33</vt:i4>
      </vt:variant>
      <vt:variant>
        <vt:i4>0</vt:i4>
      </vt:variant>
      <vt:variant>
        <vt:i4>5</vt:i4>
      </vt:variant>
      <vt:variant>
        <vt:lpwstr>https://reclamations.apps.cssf.lu/index.html?language=en</vt:lpwstr>
      </vt:variant>
      <vt:variant>
        <vt:lpwstr/>
      </vt:variant>
      <vt:variant>
        <vt:i4>4128780</vt:i4>
      </vt:variant>
      <vt:variant>
        <vt:i4>30</vt:i4>
      </vt:variant>
      <vt:variant>
        <vt:i4>0</vt:i4>
      </vt:variant>
      <vt:variant>
        <vt:i4>5</vt:i4>
      </vt:variant>
      <vt:variant>
        <vt:lpwstr>mailto:reclamation@cssf.lu</vt:lpwstr>
      </vt:variant>
      <vt:variant>
        <vt:lpwstr/>
      </vt:variant>
      <vt:variant>
        <vt:i4>3211267</vt:i4>
      </vt:variant>
      <vt:variant>
        <vt:i4>27</vt:i4>
      </vt:variant>
      <vt:variant>
        <vt:i4>0</vt:i4>
      </vt:variant>
      <vt:variant>
        <vt:i4>5</vt:i4>
      </vt:variant>
      <vt:variant>
        <vt:lpwstr>mailto:roma.abf.segreteriatecnica@bancaditalia.it</vt:lpwstr>
      </vt:variant>
      <vt:variant>
        <vt:lpwstr/>
      </vt:variant>
      <vt:variant>
        <vt:i4>3342366</vt:i4>
      </vt:variant>
      <vt:variant>
        <vt:i4>24</vt:i4>
      </vt:variant>
      <vt:variant>
        <vt:i4>0</vt:i4>
      </vt:variant>
      <vt:variant>
        <vt:i4>5</vt:i4>
      </vt:variant>
      <vt:variant>
        <vt:lpwstr>mailto:abf@bancaditalia.it</vt:lpwstr>
      </vt:variant>
      <vt:variant>
        <vt:lpwstr/>
      </vt:variant>
      <vt:variant>
        <vt:i4>1572975</vt:i4>
      </vt:variant>
      <vt:variant>
        <vt:i4>21</vt:i4>
      </vt:variant>
      <vt:variant>
        <vt:i4>0</vt:i4>
      </vt:variant>
      <vt:variant>
        <vt:i4>5</vt:i4>
      </vt:variant>
      <vt:variant>
        <vt:lpwstr>mailto:ivass@pec.ivass.it</vt:lpwstr>
      </vt:variant>
      <vt:variant>
        <vt:lpwstr/>
      </vt:variant>
      <vt:variant>
        <vt:i4>655419</vt:i4>
      </vt:variant>
      <vt:variant>
        <vt:i4>18</vt:i4>
      </vt:variant>
      <vt:variant>
        <vt:i4>0</vt:i4>
      </vt:variant>
      <vt:variant>
        <vt:i4>5</vt:i4>
      </vt:variant>
      <vt:variant>
        <vt:lpwstr>mailto:scrivi@ivass.it</vt:lpwstr>
      </vt:variant>
      <vt:variant>
        <vt:lpwstr/>
      </vt:variant>
      <vt:variant>
        <vt:i4>7798784</vt:i4>
      </vt:variant>
      <vt:variant>
        <vt:i4>15</vt:i4>
      </vt:variant>
      <vt:variant>
        <vt:i4>0</vt:i4>
      </vt:variant>
      <vt:variant>
        <vt:i4>5</vt:i4>
      </vt:variant>
      <vt:variant>
        <vt:lpwstr>mailto:info.acf@consob.it</vt:lpwstr>
      </vt:variant>
      <vt:variant>
        <vt:lpwstr/>
      </vt:variant>
      <vt:variant>
        <vt:i4>3866678</vt:i4>
      </vt:variant>
      <vt:variant>
        <vt:i4>12</vt:i4>
      </vt:variant>
      <vt:variant>
        <vt:i4>0</vt:i4>
      </vt:variant>
      <vt:variant>
        <vt:i4>5</vt:i4>
      </vt:variant>
      <vt:variant>
        <vt:lpwstr>http://www.ombudsstelle-investmentfonds.de/</vt:lpwstr>
      </vt:variant>
      <vt:variant>
        <vt:lpwstr/>
      </vt:variant>
      <vt:variant>
        <vt:i4>4259937</vt:i4>
      </vt:variant>
      <vt:variant>
        <vt:i4>9</vt:i4>
      </vt:variant>
      <vt:variant>
        <vt:i4>0</vt:i4>
      </vt:variant>
      <vt:variant>
        <vt:i4>5</vt:i4>
      </vt:variant>
      <vt:variant>
        <vt:lpwstr>mailto:office@verbraucherschlichtung.at</vt:lpwstr>
      </vt:variant>
      <vt:variant>
        <vt:lpwstr/>
      </vt:variant>
      <vt:variant>
        <vt:i4>4128780</vt:i4>
      </vt:variant>
      <vt:variant>
        <vt:i4>3</vt:i4>
      </vt:variant>
      <vt:variant>
        <vt:i4>0</vt:i4>
      </vt:variant>
      <vt:variant>
        <vt:i4>5</vt:i4>
      </vt:variant>
      <vt:variant>
        <vt:lpwstr>mailto:reclamation@cssf.lu</vt:lpwstr>
      </vt:variant>
      <vt:variant>
        <vt:lpwstr/>
      </vt:variant>
      <vt:variant>
        <vt:i4>1441819</vt:i4>
      </vt:variant>
      <vt:variant>
        <vt:i4>0</vt:i4>
      </vt:variant>
      <vt:variant>
        <vt:i4>0</vt:i4>
      </vt:variant>
      <vt:variant>
        <vt:i4>5</vt:i4>
      </vt:variant>
      <vt:variant>
        <vt:lpwstr>https://reclamations.apps.cssf.lu/index.html?language=fr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Arnone</dc:creator>
  <cp:keywords/>
  <cp:lastModifiedBy>Nataliia Chemerys</cp:lastModifiedBy>
  <cp:revision>4</cp:revision>
  <cp:lastPrinted>2024-12-18T08:48:00Z</cp:lastPrinted>
  <dcterms:created xsi:type="dcterms:W3CDTF">2024-12-18T08:48:00Z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0x010100983D36D2E5D50549BA5C220E8FB70EAD</vt:lpwstr>
  </property>
  <property fmtid="{D5CDD505-2E9C-101B-9397-08002B2CF9AE}" pid="3" name="MediaServiceImageTags">
    <vt:lpwstr/>
  </property>
</Properties>
</file>